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r>
      <w:r>
        <mc:AlternateContent>
          <mc:Choice Requires="wps">
            <w:drawing>
              <wp:anchor behindDoc="0" distT="57150" distB="57150" distL="57150" distR="57150" simplePos="0" locked="0" layoutInCell="0" allowOverlap="1" relativeHeight="2">
                <wp:simplePos x="0" y="0"/>
                <wp:positionH relativeFrom="margin">
                  <wp:posOffset>29210</wp:posOffset>
                </wp:positionH>
                <wp:positionV relativeFrom="page">
                  <wp:posOffset>915035</wp:posOffset>
                </wp:positionV>
                <wp:extent cx="1390650" cy="685165"/>
                <wp:effectExtent l="0" t="0" r="0" b="0"/>
                <wp:wrapSquare wrapText="bothSides"/>
                <wp:docPr id="1" name="Frame1"/>
                <a:graphic xmlns:a="http://schemas.openxmlformats.org/drawingml/2006/main">
                  <a:graphicData uri="http://schemas.microsoft.com/office/word/2010/wordprocessingShape">
                    <wps:wsp>
                      <wps:cNvSpPr txBox="1"/>
                      <wps:spPr>
                        <a:xfrm>
                          <a:off x="0" y="0"/>
                          <a:ext cx="1390650" cy="685165"/>
                        </a:xfrm>
                        <a:prstGeom prst="rect"/>
                        <a:solidFill>
                          <a:srgbClr val="FFFFFF">
                            <a:alpha val="0"/>
                          </a:srgbClr>
                        </a:solidFill>
                        <a:ln w="9525">
                          <a:solidFill>
                            <a:srgbClr val="FFFFFF"/>
                          </a:solidFill>
                        </a:ln>
                      </wps:spPr>
                      <wps:txbx>
                        <w:txbxContent>
                          <w:p>
                            <w:pPr>
                              <w:pStyle w:val="Normal"/>
                              <w:rPr>
                                <w:sz w:val="20"/>
                              </w:rPr>
                            </w:pPr>
                            <w:r>
                              <w:rPr>
                                <w:sz w:val="20"/>
                              </w:rPr>
                              <w:drawing>
                                <wp:inline distT="0" distB="0" distL="0" distR="0">
                                  <wp:extent cx="1372870" cy="68580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102" t="-2079" r="-2102" b="-2079"/>
                                          <a:stretch>
                                            <a:fillRect/>
                                          </a:stretch>
                                        </pic:blipFill>
                                        <pic:spPr bwMode="auto">
                                          <a:xfrm>
                                            <a:off x="0" y="0"/>
                                            <a:ext cx="1372870" cy="68580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rokecolor="#FFFFFF" strokeweight="0pt" style="position:absolute;rotation:-0;width:109.5pt;height:53.95pt;mso-wrap-distance-left:4.5pt;mso-wrap-distance-right:4.5pt;mso-wrap-distance-top:4.5pt;mso-wrap-distance-bottom:4.5pt;margin-top:72.05pt;mso-position-vertical-relative:page;margin-left:2.3pt;mso-position-horizontal-relative:margin">
                <v:fill opacity="0f"/>
                <v:textbox inset="0in,0in,0in,0in">
                  <w:txbxContent>
                    <w:p>
                      <w:pPr>
                        <w:pStyle w:val="Normal"/>
                        <w:rPr>
                          <w:sz w:val="20"/>
                        </w:rPr>
                      </w:pPr>
                      <w:r>
                        <w:rPr>
                          <w:sz w:val="20"/>
                        </w:rPr>
                        <w:drawing>
                          <wp:inline distT="0" distB="0" distL="0" distR="0">
                            <wp:extent cx="1372870" cy="68580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102" t="-2079" r="-2102" b="-2079"/>
                                    <a:stretch>
                                      <a:fillRect/>
                                    </a:stretch>
                                  </pic:blipFill>
                                  <pic:spPr bwMode="auto">
                                    <a:xfrm>
                                      <a:off x="0" y="0"/>
                                      <a:ext cx="1372870" cy="685800"/>
                                    </a:xfrm>
                                    <a:prstGeom prst="rect">
                                      <a:avLst/>
                                    </a:prstGeom>
                                    <a:noFill/>
                                  </pic:spPr>
                                </pic:pic>
                              </a:graphicData>
                            </a:graphic>
                          </wp:inline>
                        </w:drawing>
                      </w:r>
                    </w:p>
                  </w:txbxContent>
                </v:textbox>
                <w10:wrap type="square"/>
              </v:rect>
            </w:pict>
          </mc:Fallback>
        </mc:AlternateContent>
      </w:r>
    </w:p>
    <w:p>
      <w:pPr>
        <w:pStyle w:val="Normal"/>
        <w:widowControl/>
        <w:tabs>
          <w:tab w:val="clear" w:pos="720"/>
          <w:tab w:val="center" w:pos="4680" w:leader="none"/>
        </w:tabs>
        <w:jc w:val="both"/>
        <w:rPr/>
      </w:pPr>
      <w:r>
        <w:rPr/>
      </w:r>
    </w:p>
    <w:p>
      <w:pPr>
        <w:pStyle w:val="Normal"/>
        <w:widowControl/>
        <w:tabs>
          <w:tab w:val="clear" w:pos="720"/>
          <w:tab w:val="center" w:pos="4680" w:leader="none"/>
        </w:tabs>
        <w:jc w:val="both"/>
        <w:rPr/>
      </w:pPr>
      <w:r>
        <w:rPr/>
      </w:r>
    </w:p>
    <w:p>
      <w:pPr>
        <w:pStyle w:val="Normal"/>
        <w:widowControl/>
        <w:tabs>
          <w:tab w:val="clear" w:pos="720"/>
          <w:tab w:val="center" w:pos="4680" w:leader="none"/>
        </w:tabs>
        <w:jc w:val="both"/>
        <w:rPr/>
      </w:pPr>
      <w:r>
        <w:rPr/>
      </w:r>
    </w:p>
    <w:p>
      <w:pPr>
        <w:pStyle w:val="Normal"/>
        <w:widowControl/>
        <w:tabs>
          <w:tab w:val="clear" w:pos="720"/>
          <w:tab w:val="center" w:pos="4680" w:leader="none"/>
        </w:tabs>
        <w:jc w:val="both"/>
        <w:rPr/>
      </w:pPr>
      <w:r>
        <w:rPr/>
      </w:r>
    </w:p>
    <w:p>
      <w:pPr>
        <w:pStyle w:val="Normal"/>
        <w:widowControl/>
        <w:tabs>
          <w:tab w:val="clear" w:pos="720"/>
          <w:tab w:val="center" w:pos="4680" w:leader="none"/>
        </w:tabs>
        <w:jc w:val="both"/>
        <w:rPr/>
      </w:pPr>
      <w:r>
        <w:rPr/>
      </w:r>
    </w:p>
    <w:p>
      <w:pPr>
        <w:pStyle w:val="Normal"/>
        <w:widowControl/>
        <w:tabs>
          <w:tab w:val="clear" w:pos="720"/>
          <w:tab w:val="center" w:pos="4680" w:leader="none"/>
        </w:tabs>
        <w:jc w:val="both"/>
        <w:rPr/>
      </w:pPr>
      <w:r>
        <w:rPr/>
        <w:tab/>
        <w:t>M E M O R A N D U M</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left" w:pos="-1440" w:leader="none"/>
        </w:tabs>
        <w:ind w:hanging="1440" w:start="1440" w:end="0"/>
        <w:jc w:val="both"/>
        <w:rPr/>
      </w:pPr>
      <w:r>
        <w:rPr/>
        <w:t>FROM:</w:t>
        <w:tab/>
        <w:t>Bracewell &amp; Patterson, L.L.P.</w:t>
      </w:r>
    </w:p>
    <w:p>
      <w:pPr>
        <w:pStyle w:val="Normal"/>
        <w:widowControl/>
        <w:jc w:val="both"/>
        <w:rPr/>
      </w:pPr>
      <w:r>
        <w:rPr/>
      </w:r>
    </w:p>
    <w:p>
      <w:pPr>
        <w:pStyle w:val="Normal"/>
        <w:widowControl/>
        <w:tabs>
          <w:tab w:val="clear" w:pos="720"/>
          <w:tab w:val="left" w:pos="-1440" w:leader="none"/>
        </w:tabs>
        <w:ind w:hanging="1440" w:start="1440" w:end="0"/>
        <w:jc w:val="both"/>
        <w:rPr/>
      </w:pPr>
      <w:r>
        <w:rPr/>
        <w:t xml:space="preserve">DATE: </w:t>
        <w:tab/>
        <w:t>September 20, 2000</w:t>
      </w:r>
    </w:p>
    <w:p>
      <w:pPr>
        <w:pStyle w:val="Normal"/>
        <w:widowControl/>
        <w:jc w:val="both"/>
        <w:rPr/>
      </w:pPr>
      <w:r>
        <w:rPr/>
      </w:r>
    </w:p>
    <w:p>
      <w:pPr>
        <w:pStyle w:val="Normal"/>
        <w:widowControl/>
        <w:tabs>
          <w:tab w:val="clear" w:pos="720"/>
          <w:tab w:val="left" w:pos="-1440" w:leader="none"/>
        </w:tabs>
        <w:ind w:hanging="1440" w:start="1440" w:end="720"/>
        <w:jc w:val="both"/>
        <w:rPr/>
      </w:pPr>
      <w:r>
        <w:rPr/>
        <w:t>RE:</w:t>
        <w:tab/>
        <w:tab/>
        <w:t>FERC Dialogue Concerning Natural Gas Transportation Policies</w:t>
      </w:r>
    </w:p>
    <w:p>
      <w:pPr>
        <w:pStyle w:val="Normal"/>
        <w:widowControl/>
        <w:jc w:val="both"/>
        <w:rPr/>
      </w:pPr>
      <w:r>
        <w:rPr/>
      </w:r>
    </w:p>
    <w:p>
      <w:pPr>
        <w:pStyle w:val="Normal"/>
        <w:widowControl/>
        <w:jc w:val="both"/>
        <w:rPr/>
      </w:pPr>
      <w:r>
        <w:rPr/>
      </w:r>
    </w:p>
    <w:p>
      <w:pPr>
        <w:pStyle w:val="Normal"/>
        <w:widowControl/>
        <w:jc w:val="both"/>
        <w:rPr/>
      </w:pPr>
      <w:r>
        <w:rPr/>
        <w:t xml:space="preserve">On September 19, 2000, we attended a Dialogue Concerning Natural Gas Transportation Policies hosted by the Staff of the Federal Energy Regulatory Commission. The Staff indicated that the purpose of the conference was to initiate a dialogue to enable representatives of various industry segments to discuss with Staff, as well as with each other, issues relating to the development of FERC policy and regulatory responses to rate and service revisions to meet the needs of the changing natural gas market.  </w:t>
      </w:r>
    </w:p>
    <w:p>
      <w:pPr>
        <w:pStyle w:val="Normal"/>
        <w:widowControl/>
        <w:jc w:val="both"/>
        <w:rPr/>
      </w:pPr>
      <w:r>
        <w:rPr/>
      </w:r>
    </w:p>
    <w:p>
      <w:pPr>
        <w:pStyle w:val="Normal"/>
        <w:widowControl/>
        <w:jc w:val="both"/>
        <w:rPr/>
      </w:pPr>
      <w:r>
        <w:rPr/>
        <w:t xml:space="preserve">This is the first of three planned conferences.  In January, 2001, the Staff will hold a conference on affiliate issues.  In April, 2001, the Staff will hold a conference on new regulatory models, including performance-based rates and negotiated terms and conditions of service.  </w:t>
      </w:r>
    </w:p>
    <w:p>
      <w:pPr>
        <w:pStyle w:val="Normal"/>
        <w:widowControl/>
        <w:jc w:val="both"/>
        <w:rPr/>
      </w:pPr>
      <w:r>
        <w:rPr/>
      </w:r>
    </w:p>
    <w:p>
      <w:pPr>
        <w:pStyle w:val="Normal"/>
        <w:widowControl/>
        <w:jc w:val="both"/>
        <w:rPr/>
      </w:pPr>
      <w:r>
        <w:rPr/>
        <w:t>Yesterday's conference consisted of five panels.  Panels 1 and 2 addressed market liquidity issues; Panel 3 addressed issues affecting electric generation; Panel 4 addressed standardization and e-commerce issues; and Panel 5 addressed rate design issues.  Several panelists also addressed the continuing need for the "shipper-must-have-title" rule. A complete list of the speakers participating in each panel is attached.  We also have written presentations and handouts prepared by several of the speakers and will provide them upon request.</w:t>
      </w:r>
    </w:p>
    <w:p>
      <w:pPr>
        <w:pStyle w:val="Normal"/>
        <w:widowControl/>
        <w:jc w:val="both"/>
        <w:rPr/>
      </w:pPr>
      <w:r>
        <w:rPr/>
      </w:r>
    </w:p>
    <w:p>
      <w:pPr>
        <w:pStyle w:val="Normal"/>
        <w:widowControl/>
        <w:jc w:val="both"/>
        <w:rPr>
          <w:b/>
          <w:u w:val="single"/>
        </w:rPr>
      </w:pPr>
      <w:r>
        <w:rPr>
          <w:b/>
          <w:u w:val="single"/>
        </w:rPr>
        <w:t>Liquidity</w:t>
      </w:r>
    </w:p>
    <w:p>
      <w:pPr>
        <w:pStyle w:val="Normal"/>
        <w:widowControl/>
        <w:jc w:val="both"/>
        <w:rPr>
          <w:b/>
          <w:u w:val="single"/>
        </w:rPr>
      </w:pPr>
      <w:r>
        <w:rPr>
          <w:b/>
          <w:u w:val="single"/>
        </w:rPr>
      </w:r>
    </w:p>
    <w:p>
      <w:pPr>
        <w:pStyle w:val="Normal"/>
        <w:widowControl/>
        <w:jc w:val="both"/>
        <w:rPr/>
      </w:pPr>
      <w:r>
        <w:rPr/>
        <w:t xml:space="preserve">Virtually all of the participants in the liquidity panels agreed that there is liquidity of the natural gas commodity market at numerous market centers or hubs throughout the country.  The American Gas Association representative identified 40 liquid, transparent market centers providing daily and intraday pricing and permitting parties to make basis trades which capture the market value of transportation between two points.  However, these hubs are located primarily in the production area and many speakers suggested that additional market centers are required in the consuming areas.  </w:t>
      </w:r>
    </w:p>
    <w:p>
      <w:pPr>
        <w:pStyle w:val="Normal"/>
        <w:widowControl/>
        <w:jc w:val="both"/>
        <w:rPr/>
      </w:pPr>
      <w:r>
        <w:rPr/>
        <w:t xml:space="preserve">Several speakers cautioned the FERC Staff not to equate commodity liquidity with competition in pipeline transportation.  Consumers in many areas of the country continue to be served by only one interstate pipeline.  Often, there will be only one pipeline serving consumers in downstream markets, even though numerous pipelines lead into the hub.  This led at least one speaker to suggest that transportation rates upstream of any hub served by numerous pipelines could reflect market prices while rates for transportation downstream of a hub for customers without a choice of pipeline could remain market-based.  The Staff asked whether new segmentation rules addressed this concern and at least one speaker agreed that they did. </w:t>
      </w:r>
    </w:p>
    <w:p>
      <w:pPr>
        <w:pStyle w:val="Normal"/>
        <w:widowControl/>
        <w:jc w:val="both"/>
        <w:rPr/>
      </w:pPr>
      <w:r>
        <w:rPr/>
        <w:t xml:space="preserve"> </w:t>
      </w:r>
    </w:p>
    <w:p>
      <w:pPr>
        <w:pStyle w:val="Normal"/>
        <w:widowControl/>
        <w:jc w:val="both"/>
        <w:rPr/>
      </w:pPr>
      <w:r>
        <w:rPr/>
        <w:t>Representatives of natural gas producers and production area pipelines suggested that rate zones should be established upstream and downstream of hubs.  Currently, shippers of the gas delivered by pipelines such as Reliant and Koch Gateway to downstream pipelines for further transportation also pay the downstream pipeline's production area zone rate.  Reliant and Koch would like the benefit of delivering directly into market area zones even though current boundaries place their interconnections in the production area.  With respect to the current markets and rules, more than one speaker told the FERC "if it ain't broke don't fix it."</w:t>
      </w:r>
    </w:p>
    <w:p>
      <w:pPr>
        <w:pStyle w:val="Normal"/>
        <w:widowControl/>
        <w:jc w:val="both"/>
        <w:rPr/>
      </w:pPr>
      <w:r>
        <w:rPr/>
      </w:r>
    </w:p>
    <w:p>
      <w:pPr>
        <w:pStyle w:val="Normal"/>
        <w:widowControl/>
        <w:jc w:val="both"/>
        <w:rPr/>
      </w:pPr>
      <w:r>
        <w:rPr/>
        <w:t>During the question and answer period, Dick O'Neill of the FERC Staff asked whether it  was possible to measure relative liquidity between market centers.  He indicated that there was no report of the number of trades at each hub, similar to the reports submitted to FERC by electric power marketers.  With the exception of the representative of the New York Public Service Commission ("NYPSC"), none of the panelists seemed to think that such reporting was necessary and one analyst questioned what the FERC would do with such figures.</w:t>
      </w:r>
    </w:p>
    <w:p>
      <w:pPr>
        <w:pStyle w:val="Normal"/>
        <w:widowControl/>
        <w:jc w:val="both"/>
        <w:rPr/>
      </w:pPr>
      <w:r>
        <w:rPr/>
      </w:r>
    </w:p>
    <w:p>
      <w:pPr>
        <w:pStyle w:val="Normal"/>
        <w:widowControl/>
        <w:jc w:val="both"/>
        <w:rPr/>
      </w:pPr>
      <w:r>
        <w:rPr/>
        <w:t>Several LDC representatives and the speaker on behalf of Dominion Transmission, Inc. ("DTI") supported the elimination of the "shipper-must-have-title" rule.  Essentially, under the rule, the identity of the holder of gas transportation rights and the owner of the gas must be the same.  The rule has been in place since the mid-1980s and FERC has resisted attempts to eliminate or modify the policy, although it has granted waivers in specific circumstances.  Representatives of Keyspan Energy, Boston Gas, the NYPSC, and DTI suggested that eliminating the "shipper-must-have-title" rule will encourage the development of new services, aid in the development of market centers, increase innovation, and permit holders of capacity to develop new uses for pipeline capacity without being subject to FERC jurisdiction.  The Process Gas Consumers Group ("PGC") strongly opposed these proposals and suggested that the repeal of the "shipper-must-have-title" rule would undermine the FERC's capacity release program and mask currently transparent capacity and pricing data.  Based on the FERC Staff's questions, the Staff appeared to be leaning towards PGC's position and did not seem convinced by the LDC arguments.  Staff also expressed concern that elimination of the "shipper-must-have-title" rule would lead to affiliate preference issues.</w:t>
      </w:r>
    </w:p>
    <w:p>
      <w:pPr>
        <w:pStyle w:val="Normal"/>
        <w:widowControl/>
        <w:jc w:val="both"/>
        <w:rPr/>
      </w:pPr>
      <w:r>
        <w:rPr/>
      </w:r>
    </w:p>
    <w:p>
      <w:pPr>
        <w:pStyle w:val="Normal"/>
        <w:keepNext w:val="true"/>
        <w:widowControl/>
        <w:jc w:val="both"/>
        <w:rPr>
          <w:b/>
          <w:u w:val="single"/>
        </w:rPr>
      </w:pPr>
      <w:r>
        <w:rPr>
          <w:b/>
          <w:u w:val="single"/>
        </w:rPr>
        <w:t>Electric Generation</w:t>
      </w:r>
    </w:p>
    <w:p>
      <w:pPr>
        <w:pStyle w:val="Normal"/>
        <w:keepNext w:val="true"/>
        <w:keepLines/>
        <w:widowControl/>
        <w:jc w:val="both"/>
        <w:rPr/>
      </w:pPr>
      <w:r>
        <w:rPr/>
      </w:r>
    </w:p>
    <w:p>
      <w:pPr>
        <w:pStyle w:val="Normal"/>
        <w:keepNext w:val="true"/>
        <w:keepLines/>
        <w:widowControl/>
        <w:jc w:val="both"/>
        <w:rPr/>
      </w:pPr>
      <w:r>
        <w:rPr/>
        <w:t>The electric generator representatives on Panel 3 focused on the particular needs of generators for increased transportation flexibility and hourly services. The representative of Southern Company raised several issues adversely affecting flexibility, including: pooling restrictions, lack of access to receipt points, rate zone structures, non-uniform capacity release systems, and pipeline affiliate dominance of LNG terminals. Most of electric generation speakers want to see more standardization among the interstate pipelines' tariffs and operating systems.</w:t>
      </w:r>
    </w:p>
    <w:p>
      <w:pPr>
        <w:pStyle w:val="Normal"/>
        <w:keepLines/>
        <w:widowControl/>
        <w:jc w:val="both"/>
        <w:rPr>
          <w:b/>
          <w:u w:val="single"/>
        </w:rPr>
      </w:pPr>
      <w:r>
        <w:rPr>
          <w:b/>
          <w:u w:val="single"/>
        </w:rPr>
      </w:r>
    </w:p>
    <w:p>
      <w:pPr>
        <w:pStyle w:val="Normal"/>
        <w:widowControl/>
        <w:jc w:val="both"/>
        <w:rPr>
          <w:b/>
          <w:u w:val="single"/>
        </w:rPr>
      </w:pPr>
      <w:r>
        <w:rPr>
          <w:b/>
          <w:u w:val="single"/>
        </w:rPr>
        <w:t>E-Commerce</w:t>
      </w:r>
    </w:p>
    <w:p>
      <w:pPr>
        <w:pStyle w:val="Normal"/>
        <w:widowControl/>
        <w:jc w:val="both"/>
        <w:rPr>
          <w:b/>
          <w:u w:val="single"/>
        </w:rPr>
      </w:pPr>
      <w:r>
        <w:rPr>
          <w:b/>
          <w:u w:val="single"/>
        </w:rPr>
      </w:r>
    </w:p>
    <w:p>
      <w:pPr>
        <w:pStyle w:val="Normal"/>
        <w:widowControl/>
        <w:jc w:val="both"/>
        <w:rPr/>
      </w:pPr>
      <w:r>
        <w:rPr/>
        <w:t>Most of the participants in the e-commerce panel agreed that it was important to develop a means for trading natural gas pipeline capacity in an open, liquid, electronic environment.  They felt that electronic trading of capacity will level playing field among suppliers of capacity and increase competition and efficiency in the markets.  One speaker pointed out that a reason that electronic trading of capacity has not yet fully developed is that recall restrictions placed on capacity by the initial releasing shipper limit the value of that capacity in future trades. A representative of NYMEX cautioned the FERC not to let mistakes made in regulation of the electric industry leak over into the gas markets, which are working well.  A producer representative on the panel urged FERC to ensure that existing services are robust enough for pipelines and shippers before permitting pipelines to implement new services and further to ensure that any new services should not just add profit for the pipeline and/or its affiliates, but actually benefit the marketplace.</w:t>
      </w:r>
    </w:p>
    <w:p>
      <w:pPr>
        <w:pStyle w:val="Normal"/>
        <w:widowControl/>
        <w:jc w:val="both"/>
        <w:rPr/>
      </w:pPr>
      <w:r>
        <w:rPr/>
      </w:r>
    </w:p>
    <w:p>
      <w:pPr>
        <w:pStyle w:val="Normal"/>
        <w:widowControl/>
        <w:jc w:val="both"/>
        <w:rPr>
          <w:b/>
          <w:u w:val="single"/>
        </w:rPr>
      </w:pPr>
      <w:r>
        <w:rPr>
          <w:b/>
          <w:u w:val="single"/>
        </w:rPr>
        <w:t>Rate Design</w:t>
      </w:r>
    </w:p>
    <w:p>
      <w:pPr>
        <w:pStyle w:val="Normal"/>
        <w:widowControl/>
        <w:jc w:val="both"/>
        <w:rPr>
          <w:b/>
          <w:u w:val="single"/>
        </w:rPr>
      </w:pPr>
      <w:r>
        <w:rPr>
          <w:b/>
          <w:u w:val="single"/>
        </w:rPr>
      </w:r>
    </w:p>
    <w:p>
      <w:pPr>
        <w:pStyle w:val="Normal"/>
        <w:widowControl/>
        <w:jc w:val="both"/>
        <w:rPr/>
      </w:pPr>
      <w:r>
        <w:rPr/>
        <w:t xml:space="preserve">The final panel consisted primarily of LDCs  interested in eliminating straight fix variable ("SFV") rate design and producers who support SFV. The LDC representatives believe that SFV is contrary to the FERC's goals, that only recourse shippers without options pay full SFV rates, and that SFV was implemented to allocate pipeline capacity at a time that it was scarce.  (In an earlier panel, the NYPSC also opposed SFV.)  The producer representative argued that SFV is the best allocator of capacity and discourages hoarding of capacity. (In an earlier panel, PGC also supported SFV.)  No concrete alternatives to SFV were proposed. </w:t>
      </w:r>
    </w:p>
    <w:p>
      <w:pPr>
        <w:pStyle w:val="Normal"/>
        <w:widowControl/>
        <w:jc w:val="both"/>
        <w:rPr/>
      </w:pPr>
      <w:r>
        <w:rPr/>
      </w:r>
    </w:p>
    <w:p>
      <w:pPr>
        <w:pStyle w:val="Normal"/>
        <w:widowControl/>
        <w:jc w:val="both"/>
        <w:rPr/>
      </w:pPr>
      <w:r>
        <w:rPr/>
        <w:t xml:space="preserve">The Staff announced that parties interested in submitting written comments on the issues addressed at the conference should do so by October 19, 2000.  </w:t>
      </w:r>
    </w:p>
    <w:p>
      <w:pPr>
        <w:pStyle w:val="Normal"/>
        <w:widowControl/>
        <w:jc w:val="both"/>
        <w:rPr/>
      </w:pPr>
      <w:r>
        <w:rPr/>
      </w:r>
    </w:p>
    <w:p>
      <w:pPr>
        <w:pStyle w:val="Normal"/>
        <w:widowControl/>
        <w:jc w:val="both"/>
        <w:rPr/>
      </w:pPr>
      <w:r>
        <w:rPr/>
        <w:t>Please call Randy Rich at (202) 828-5879 if you have any question or require copies of the written presentations.</w:t>
      </w:r>
    </w:p>
    <w:p>
      <w:pPr>
        <w:pStyle w:val="Normal"/>
        <w:widowControl/>
        <w:jc w:val="both"/>
        <w:rPr/>
      </w:pPr>
      <w:r>
        <w:rPr/>
      </w:r>
    </w:p>
    <w:p>
      <w:pPr>
        <w:pStyle w:val="Normal"/>
        <w:widowControl/>
        <w:ind w:firstLine="4320" w:end="0"/>
        <w:jc w:val="both"/>
        <w:rPr/>
      </w:pPr>
      <w:r>
        <w:rPr/>
        <w:t>B&amp;P/</w:t>
      </w:r>
      <w:r>
        <w:rPr>
          <w:sz w:val="16"/>
        </w:rPr>
        <w:t>131415.1</w:t>
      </w:r>
    </w:p>
    <w:sectPr>
      <w:headerReference w:type="default" r:id="rId4"/>
      <w:headerReference w:type="first" r:id="rId5"/>
      <w:type w:val="nextPage"/>
      <w:pgSz w:w="12240" w:h="15840"/>
      <w:pgMar w:left="1440" w:right="1440" w:gutter="0" w:header="965"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288"/>
      <w:jc w:val="both"/>
      <w:rPr/>
    </w:pPr>
    <w:r>
      <w:rPr/>
      <w:t>Memorandum</w:t>
    </w:r>
  </w:p>
  <w:p>
    <w:pPr>
      <w:pStyle w:val="Normal"/>
      <w:ind w:end="288"/>
      <w:jc w:val="both"/>
      <w:rPr/>
    </w:pPr>
    <w:r>
      <w:rPr/>
      <w:t>September 20, 2000</w:t>
    </w:r>
  </w:p>
  <w:p>
    <w:pPr>
      <w:pStyle w:val="Normal"/>
      <w:ind w:end="288"/>
      <w:jc w:val="both"/>
      <w:rPr/>
    </w:pPr>
    <w:r>
      <w:rPr/>
      <w:t xml:space="preserve">Page </w:t>
    </w:r>
    <w:r>
      <w:rPr/>
      <w:fldChar w:fldCharType="begin"/>
    </w:r>
    <w:r>
      <w:rPr/>
      <w:instrText xml:space="preserve"> PAGE </w:instrText>
    </w:r>
    <w:r>
      <w:rPr/>
      <w:fldChar w:fldCharType="separate"/>
    </w:r>
    <w:r>
      <w:rPr/>
      <w:t>3</w:t>
    </w:r>
    <w:r>
      <w:rPr/>
      <w:fldChar w:fldCharType="end"/>
    </w:r>
  </w:p>
  <w:p>
    <w:pPr>
      <w:pStyle w:val="Normal"/>
      <w:ind w:end="288"/>
      <w:jc w:val="both"/>
      <w:rPr/>
    </w:pPr>
    <w:r>
      <w:rPr/>
    </w:r>
  </w:p>
  <w:p>
    <w:pPr>
      <w:pStyle w:val="Normal"/>
      <w:ind w:end="288"/>
      <w:jc w:val="both"/>
      <w:rPr/>
    </w:pPr>
    <w:r>
      <w:rPr/>
    </w:r>
  </w:p>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2000-09-20T20:02:00Z</dcterms:created>
  <dc:creator>bcantre</dc:creator>
  <dc:description/>
  <dc:language>en-CA</dc:language>
  <cp:lastModifiedBy>bcantre</cp:lastModifiedBy>
  <dcterms:modified xsi:type="dcterms:W3CDTF">2000-09-20T20:02:00Z</dcterms:modified>
  <cp:revision>2</cp:revision>
  <dc:subject/>
  <dc:title> </dc:title>
</cp:coreProperties>
</file>