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8"/>
        </w:rPr>
      </w:pPr>
      <w:r>
        <w:rPr>
          <w:sz w:val="18"/>
        </w:rPr>
      </w:r>
    </w:p>
    <w:p>
      <w:pPr>
        <w:pStyle w:val="Normal"/>
        <w:rPr>
          <w:sz w:val="18"/>
        </w:rPr>
      </w:pPr>
      <w:r>
        <w:rPr>
          <w:sz w:val="18"/>
        </w:rPr>
      </w:r>
    </w:p>
    <w:tbl>
      <w:tblPr>
        <w:tblW w:w="9601" w:type="dxa"/>
        <w:jc w:val="center"/>
        <w:tblInd w:w="0" w:type="dxa"/>
        <w:tblLayout w:type="fixed"/>
        <w:tblCellMar>
          <w:top w:w="30" w:type="dxa"/>
          <w:start w:w="30" w:type="dxa"/>
          <w:bottom w:w="30" w:type="dxa"/>
          <w:end w:w="30" w:type="dxa"/>
        </w:tblCellMar>
      </w:tblPr>
      <w:tblGrid>
        <w:gridCol w:w="154"/>
        <w:gridCol w:w="160"/>
        <w:gridCol w:w="9287"/>
      </w:tblGrid>
      <w:tr>
        <w:trPr/>
        <w:tc>
          <w:tcPr>
            <w:tcW w:w="9601" w:type="dxa"/>
            <w:gridSpan w:val="3"/>
            <w:tcBorders/>
            <w:vAlign w:val="center"/>
          </w:tcPr>
          <w:p>
            <w:pPr>
              <w:pStyle w:val="Normal"/>
              <w:rPr>
                <w:rFonts w:ascii="Arial Unicode MS" w:hAnsi="Arial Unicode MS" w:eastAsia="Arial Unicode MS" w:cs="Arial Unicode MS"/>
                <w:sz w:val="18"/>
                <w:lang w:val="fr-FR"/>
              </w:rPr>
            </w:pPr>
            <w:r>
              <w:rPr>
                <w:rFonts w:eastAsia="Arial Unicode MS" w:cs="Arial Unicode MS" w:ascii="Arial Unicode MS" w:hAnsi="Arial Unicode MS"/>
                <w:b/>
                <w:bCs/>
                <w:sz w:val="18"/>
                <w:lang w:val="fr-FR"/>
              </w:rPr>
              <w:t>Brent R. Larsen</w:t>
            </w:r>
            <w:r>
              <w:rPr>
                <w:rFonts w:eastAsia="Arial Unicode MS" w:cs="Arial Unicode MS" w:ascii="Arial Unicode MS" w:hAnsi="Arial Unicode MS"/>
                <w:sz w:val="18"/>
                <w:lang w:val="fr-FR"/>
              </w:rPr>
              <w:t xml:space="preserve"> </w:t>
            </w:r>
          </w:p>
          <w:tbl>
            <w:tblPr>
              <w:tblW w:w="9495" w:type="dxa"/>
              <w:jc w:val="start"/>
              <w:tblInd w:w="8" w:type="dxa"/>
              <w:tblLayout w:type="fixed"/>
              <w:tblCellMar>
                <w:top w:w="0" w:type="dxa"/>
                <w:start w:w="0" w:type="dxa"/>
                <w:bottom w:w="0" w:type="dxa"/>
                <w:end w:w="0" w:type="dxa"/>
              </w:tblCellMar>
            </w:tblPr>
            <w:tblGrid>
              <w:gridCol w:w="9495"/>
            </w:tblGrid>
            <w:tr>
              <w:trPr/>
              <w:tc>
                <w:tcPr>
                  <w:tcW w:w="9495" w:type="dxa"/>
                  <w:tcBorders/>
                  <w:vAlign w:val="center"/>
                </w:tcPr>
                <w:p>
                  <w:pPr>
                    <w:pStyle w:val="Normal"/>
                    <w:snapToGrid w:val="false"/>
                    <w:rPr>
                      <w:sz w:val="18"/>
                      <w:szCs w:val="20"/>
                      <w:lang w:val="fr-FR"/>
                    </w:rPr>
                  </w:pPr>
                  <w:r>
                    <w:rPr>
                      <w:sz w:val="18"/>
                      <w:szCs w:val="20"/>
                      <w:lang w:val="fr-FR"/>
                    </w:rPr>
                  </w:r>
                </w:p>
              </w:tc>
            </w:tr>
            <w:tr>
              <w:trPr/>
              <w:tc>
                <w:tcPr>
                  <w:tcW w:w="9495" w:type="dxa"/>
                  <w:tcBorders/>
                  <w:vAlign w:val="center"/>
                </w:tcPr>
                <w:p>
                  <w:pPr>
                    <w:pStyle w:val="Normal"/>
                    <w:jc w:val="center"/>
                    <w:rPr>
                      <w:rFonts w:ascii="Verdana" w:hAnsi="Verdana" w:cs="Verdana"/>
                      <w:sz w:val="18"/>
                      <w:szCs w:val="20"/>
                    </w:rPr>
                  </w:pPr>
                  <w:r>
                    <w:rPr>
                      <w:rFonts w:cs="Verdana" w:ascii="Verdana" w:hAnsi="Verdana"/>
                      <w:sz w:val="18"/>
                      <w:szCs w:val="20"/>
                    </w:rPr>
                    <w:t>3364 Maroneal St.</w:t>
                  </w:r>
                </w:p>
                <w:p>
                  <w:pPr>
                    <w:pStyle w:val="Normal"/>
                    <w:jc w:val="center"/>
                    <w:rPr>
                      <w:rFonts w:ascii="Arial Unicode MS" w:hAnsi="Arial Unicode MS" w:eastAsia="Arial Unicode MS" w:cs="Arial Unicode MS"/>
                      <w:sz w:val="18"/>
                    </w:rPr>
                  </w:pPr>
                  <w:r>
                    <w:rPr>
                      <w:rFonts w:cs="Verdana" w:ascii="Verdana" w:hAnsi="Verdana"/>
                      <w:sz w:val="18"/>
                      <w:szCs w:val="20"/>
                    </w:rPr>
                    <w:t xml:space="preserve">Houston, TX  77025 </w:t>
                  </w:r>
                </w:p>
              </w:tc>
            </w:tr>
            <w:tr>
              <w:trPr/>
              <w:tc>
                <w:tcPr>
                  <w:tcW w:w="9495" w:type="dxa"/>
                  <w:tcBorders/>
                  <w:vAlign w:val="center"/>
                </w:tcPr>
                <w:p>
                  <w:pPr>
                    <w:pStyle w:val="Normal"/>
                    <w:jc w:val="center"/>
                    <w:rPr>
                      <w:rFonts w:ascii="Verdana" w:hAnsi="Verdana" w:cs="Verdana"/>
                      <w:sz w:val="18"/>
                      <w:szCs w:val="20"/>
                    </w:rPr>
                  </w:pPr>
                  <w:r>
                    <w:rPr>
                      <w:rFonts w:cs="Verdana" w:ascii="Verdana" w:hAnsi="Verdana"/>
                      <w:sz w:val="18"/>
                      <w:szCs w:val="20"/>
                    </w:rPr>
                    <w:t>Cell: 832/724-7666, Home: 713/666-7481</w:t>
                  </w:r>
                </w:p>
                <w:p>
                  <w:pPr>
                    <w:pStyle w:val="Normal"/>
                    <w:jc w:val="center"/>
                    <w:rPr>
                      <w:rFonts w:ascii="Arial Unicode MS" w:hAnsi="Arial Unicode MS" w:eastAsia="Arial Unicode MS" w:cs="Arial Unicode MS"/>
                      <w:sz w:val="18"/>
                    </w:rPr>
                  </w:pPr>
                  <w:r>
                    <w:rPr>
                      <w:rFonts w:cs="Verdana" w:ascii="Verdana" w:hAnsi="Verdana"/>
                      <w:sz w:val="18"/>
                      <w:szCs w:val="20"/>
                    </w:rPr>
                    <w:t>E-mail: brlarsen@swbell.net</w:t>
                  </w:r>
                </w:p>
              </w:tc>
            </w:tr>
            <w:tr>
              <w:trPr/>
              <w:tc>
                <w:tcPr>
                  <w:tcW w:w="9495" w:type="dxa"/>
                  <w:tcBorders/>
                  <w:vAlign w:val="center"/>
                </w:tcPr>
                <w:p>
                  <w:pPr>
                    <w:pStyle w:val="Normal"/>
                    <w:snapToGrid w:val="false"/>
                    <w:rPr>
                      <w:rFonts w:ascii="Arial Unicode MS" w:hAnsi="Arial Unicode MS" w:eastAsia="Arial Unicode MS" w:cs="Arial Unicode MS"/>
                      <w:sz w:val="18"/>
                      <w:szCs w:val="20"/>
                    </w:rPr>
                  </w:pPr>
                  <w:r>
                    <w:rPr>
                      <w:rFonts w:eastAsia="Arial Unicode MS" w:cs="Arial Unicode MS" w:ascii="Arial Unicode MS" w:hAnsi="Arial Unicode MS"/>
                      <w:sz w:val="18"/>
                      <w:szCs w:val="20"/>
                    </w:rPr>
                  </w:r>
                </w:p>
              </w:tc>
            </w:tr>
          </w:tbl>
          <w:p>
            <w:pPr>
              <w:pStyle w:val="Normal"/>
              <w:rPr>
                <w:rFonts w:ascii="Arial Unicode MS" w:hAnsi="Arial Unicode MS" w:eastAsia="Arial Unicode MS" w:cs="Arial Unicode MS"/>
                <w:sz w:val="18"/>
              </w:rPr>
            </w:pPr>
            <w:r>
              <w:rPr>
                <w:rFonts w:eastAsia="Arial Unicode MS" w:cs="Arial Unicode MS" w:ascii="Arial Unicode MS" w:hAnsi="Arial Unicode MS"/>
                <w:sz w:val="18"/>
              </w:rPr>
            </w:r>
          </w:p>
        </w:tc>
      </w:tr>
      <w:tr>
        <w:trPr/>
        <w:tc>
          <w:tcPr>
            <w:tcW w:w="9601" w:type="dxa"/>
            <w:gridSpan w:val="3"/>
            <w:tcBorders>
              <w:bottom w:val="thickThinSmallGap" w:sz="24" w:space="0" w:color="000000"/>
            </w:tcBorders>
            <w:vAlign w:val="center"/>
          </w:tcPr>
          <w:p>
            <w:pPr>
              <w:pStyle w:val="Normal"/>
              <w:snapToGrid w:val="false"/>
              <w:rPr>
                <w:rFonts w:ascii="Arial Unicode MS" w:hAnsi="Arial Unicode MS" w:eastAsia="Arial Unicode MS" w:cs="Arial Unicode MS"/>
                <w:sz w:val="18"/>
                <w:szCs w:val="20"/>
              </w:rPr>
            </w:pPr>
            <w:r>
              <w:rPr>
                <w:rFonts w:eastAsia="Arial Unicode MS" w:cs="Arial Unicode MS" w:ascii="Arial Unicode MS" w:hAnsi="Arial Unicode MS"/>
                <w:sz w:val="18"/>
                <w:szCs w:val="20"/>
              </w:rPr>
            </w:r>
          </w:p>
        </w:tc>
      </w:tr>
      <w:tr>
        <w:trPr/>
        <w:tc>
          <w:tcPr>
            <w:tcW w:w="154" w:type="dxa"/>
            <w:tcBorders/>
            <w:vAlign w:val="center"/>
          </w:tcPr>
          <w:p>
            <w:pPr>
              <w:pStyle w:val="Normal"/>
              <w:rPr>
                <w:rFonts w:ascii="Arial Unicode MS" w:hAnsi="Arial Unicode MS" w:eastAsia="Arial Unicode MS" w:cs="Arial Unicode MS"/>
                <w:sz w:val="18"/>
              </w:rPr>
            </w:pPr>
            <w:r>
              <w:rPr>
                <w:sz w:val="18"/>
              </w:rPr>
              <w:t> </w:t>
            </w:r>
          </w:p>
        </w:tc>
        <w:tc>
          <w:tcPr>
            <w:tcW w:w="9447" w:type="dxa"/>
            <w:gridSpan w:val="2"/>
            <w:tcBorders/>
            <w:vAlign w:val="center"/>
          </w:tcPr>
          <w:p>
            <w:pPr>
              <w:pStyle w:val="Normal"/>
              <w:snapToGrid w:val="false"/>
              <w:rPr>
                <w:rFonts w:ascii="Verdana" w:hAnsi="Verdana" w:eastAsia="Arial Unicode MS" w:cs="Verdana"/>
                <w:b/>
                <w:bCs/>
                <w:color w:val="0000FF"/>
                <w:sz w:val="18"/>
              </w:rPr>
            </w:pPr>
            <w:r>
              <w:rPr>
                <w:rFonts w:eastAsia="Arial Unicode MS" w:cs="Verdana" w:ascii="Verdana" w:hAnsi="Verdana"/>
                <w:b/>
                <w:bCs/>
                <w:color w:val="0000FF"/>
                <w:sz w:val="18"/>
              </w:rPr>
            </w:r>
          </w:p>
          <w:p>
            <w:pPr>
              <w:pStyle w:val="Normal"/>
              <w:rPr>
                <w:rFonts w:ascii="Arial Unicode MS" w:hAnsi="Arial Unicode MS" w:eastAsia="Arial Unicode MS" w:cs="Arial Unicode MS"/>
                <w:sz w:val="18"/>
              </w:rPr>
            </w:pPr>
            <w:r>
              <w:rPr>
                <w:rFonts w:cs="Verdana" w:ascii="Verdana" w:hAnsi="Verdana"/>
                <w:b/>
                <w:bCs/>
                <w:color w:val="0000FF"/>
                <w:sz w:val="18"/>
              </w:rPr>
              <w:t>Employment History</w:t>
            </w:r>
            <w:r>
              <w:rPr>
                <w:sz w:val="18"/>
              </w:rPr>
              <w:t xml:space="preserve"> </w:t>
            </w:r>
          </w:p>
        </w:tc>
      </w:tr>
      <w:tr>
        <w:trPr/>
        <w:tc>
          <w:tcPr>
            <w:tcW w:w="154" w:type="dxa"/>
            <w:tcBorders/>
            <w:vAlign w:val="center"/>
          </w:tcPr>
          <w:p>
            <w:pPr>
              <w:pStyle w:val="BodyText"/>
              <w:rPr>
                <w:rFonts w:ascii="Verdana" w:hAnsi="Verdana" w:eastAsia="Arial Unicode MS" w:cs="Verdana"/>
                <w:sz w:val="18"/>
              </w:rPr>
            </w:pPr>
            <w:r>
              <w:rPr>
                <w:rFonts w:cs="Verdana" w:ascii="Verdana" w:hAnsi="Verdana"/>
                <w:sz w:val="18"/>
              </w:rPr>
              <w:t> </w:t>
            </w:r>
          </w:p>
        </w:tc>
        <w:tc>
          <w:tcPr>
            <w:tcW w:w="160" w:type="dxa"/>
            <w:tcBorders/>
            <w:vAlign w:val="center"/>
          </w:tcPr>
          <w:p>
            <w:pPr>
              <w:pStyle w:val="BodyText"/>
              <w:rPr>
                <w:rFonts w:ascii="Verdana" w:hAnsi="Verdana" w:eastAsia="Arial Unicode MS" w:cs="Verdana"/>
                <w:sz w:val="18"/>
              </w:rPr>
            </w:pPr>
            <w:r>
              <w:rPr>
                <w:rFonts w:cs="Verdana" w:ascii="Verdana" w:hAnsi="Verdana"/>
                <w:sz w:val="18"/>
              </w:rPr>
              <w:t> </w:t>
            </w:r>
          </w:p>
        </w:tc>
        <w:tc>
          <w:tcPr>
            <w:tcW w:w="9287" w:type="dxa"/>
            <w:tcBorders/>
            <w:vAlign w:val="center"/>
          </w:tcPr>
          <w:p>
            <w:pPr>
              <w:pStyle w:val="BodyText"/>
              <w:jc w:val="start"/>
              <w:rPr/>
            </w:pPr>
            <w:r>
              <w:rPr>
                <w:rFonts w:cs="Verdana" w:ascii="Verdana" w:hAnsi="Verdana"/>
                <w:b/>
                <w:bCs/>
                <w:sz w:val="18"/>
                <w:szCs w:val="20"/>
                <w:u w:val="single"/>
              </w:rPr>
              <w:t xml:space="preserve">RedMeteor.com / Cornerstone Propane </w:t>
            </w:r>
            <w:r>
              <w:rPr>
                <w:rFonts w:cs="Verdana" w:ascii="Verdana" w:hAnsi="Verdana"/>
                <w:sz w:val="18"/>
                <w:szCs w:val="20"/>
                <w:u w:val="single"/>
              </w:rPr>
              <w:t>(06/1999 - Present), Sugar Land, TX</w:t>
            </w:r>
            <w:r>
              <w:rPr>
                <w:rFonts w:cs="Verdana" w:ascii="Verdana" w:hAnsi="Verdana"/>
                <w:sz w:val="18"/>
                <w:szCs w:val="20"/>
              </w:rPr>
              <w:br/>
            </w:r>
            <w:r>
              <w:rPr>
                <w:rFonts w:cs="Verdana" w:ascii="Verdana" w:hAnsi="Verdana"/>
                <w:i/>
                <w:iCs/>
                <w:sz w:val="18"/>
                <w:szCs w:val="20"/>
              </w:rPr>
              <w:t>Director, Business Development / Manager, Business Development, Coast Energy</w:t>
            </w:r>
          </w:p>
          <w:p>
            <w:pPr>
              <w:pStyle w:val="BodyText"/>
              <w:jc w:val="start"/>
              <w:rPr>
                <w:rFonts w:ascii="Verdana" w:hAnsi="Verdana" w:cs="Verdana"/>
                <w:i/>
                <w:i/>
                <w:iCs/>
                <w:sz w:val="18"/>
                <w:szCs w:val="20"/>
              </w:rPr>
            </w:pPr>
            <w:r>
              <w:rPr>
                <w:rFonts w:cs="Verdana" w:ascii="Verdana" w:hAnsi="Verdana"/>
                <w:i/>
                <w:iCs/>
                <w:sz w:val="18"/>
                <w:szCs w:val="20"/>
              </w:rPr>
            </w:r>
          </w:p>
          <w:p>
            <w:pPr>
              <w:pStyle w:val="BodyText"/>
              <w:rPr/>
            </w:pPr>
            <w:r>
              <w:rPr>
                <w:rFonts w:cs="Verdana" w:ascii="Verdana" w:hAnsi="Verdana"/>
                <w:sz w:val="18"/>
                <w:szCs w:val="20"/>
              </w:rPr>
              <w:t xml:space="preserve">RedMeteor </w:t>
            </w:r>
            <w:r>
              <w:rPr>
                <w:rFonts w:cs="Verdana" w:ascii="Verdana" w:hAnsi="Verdana"/>
                <w:i/>
                <w:iCs/>
                <w:sz w:val="18"/>
                <w:szCs w:val="20"/>
              </w:rPr>
              <w:t>(</w:t>
            </w:r>
            <w:hyperlink r:id="rId2">
              <w:r>
                <w:rPr>
                  <w:rStyle w:val="Hyperlink"/>
                  <w:rFonts w:cs="Verdana" w:ascii="Verdana" w:hAnsi="Verdana"/>
                  <w:i/>
                  <w:iCs/>
                  <w:sz w:val="18"/>
                  <w:szCs w:val="20"/>
                </w:rPr>
                <w:t>www.redmeteor.com</w:t>
              </w:r>
            </w:hyperlink>
            <w:r>
              <w:rPr>
                <w:rFonts w:cs="Verdana" w:ascii="Verdana" w:hAnsi="Verdana"/>
                <w:i/>
                <w:iCs/>
                <w:sz w:val="18"/>
                <w:szCs w:val="20"/>
              </w:rPr>
              <w:t xml:space="preserve">) </w:t>
            </w:r>
            <w:r>
              <w:rPr>
                <w:rFonts w:cs="Verdana" w:ascii="Verdana" w:hAnsi="Verdana"/>
                <w:sz w:val="18"/>
                <w:szCs w:val="20"/>
              </w:rPr>
              <w:t xml:space="preserve">is an internet-based B2B energy brokerage company funded with $6 million in seed capital from Cornerstone Propane and $15 million from the Mayfield Fund and Fremont Ventures. Responsibilities at RedMeteor include implementing value-added services (ex. integration, credit, clearing and logistics), prospecting for and developing strategic alliance  relationships, and completing merger &amp; acquisition evaluations. </w:t>
            </w:r>
          </w:p>
          <w:p>
            <w:pPr>
              <w:pStyle w:val="BodyText"/>
              <w:rPr/>
            </w:pPr>
            <w:r>
              <w:rPr>
                <w:rFonts w:cs="Verdana" w:ascii="Verdana" w:hAnsi="Verdana"/>
                <w:sz w:val="18"/>
                <w:szCs w:val="20"/>
              </w:rPr>
              <w:t xml:space="preserve">Coast Energy </w:t>
            </w:r>
            <w:r>
              <w:rPr>
                <w:rFonts w:cs="Verdana" w:ascii="Verdana" w:hAnsi="Verdana"/>
                <w:i/>
                <w:iCs/>
                <w:sz w:val="18"/>
                <w:szCs w:val="20"/>
              </w:rPr>
              <w:t>(</w:t>
            </w:r>
            <w:hyperlink r:id="rId3">
              <w:r>
                <w:rPr>
                  <w:rStyle w:val="Hyperlink"/>
                  <w:rFonts w:cs="Verdana" w:ascii="Verdana" w:hAnsi="Verdana"/>
                  <w:i/>
                  <w:iCs/>
                  <w:sz w:val="18"/>
                  <w:szCs w:val="20"/>
                </w:rPr>
                <w:t>www.coastenergy.com</w:t>
              </w:r>
            </w:hyperlink>
            <w:r>
              <w:rPr>
                <w:rFonts w:cs="Verdana" w:ascii="Verdana" w:hAnsi="Verdana"/>
                <w:i/>
                <w:iCs/>
                <w:sz w:val="18"/>
                <w:szCs w:val="20"/>
              </w:rPr>
              <w:t xml:space="preserve">) </w:t>
            </w:r>
            <w:r>
              <w:rPr>
                <w:rFonts w:cs="Verdana" w:ascii="Verdana" w:hAnsi="Verdana"/>
                <w:sz w:val="18"/>
                <w:szCs w:val="20"/>
              </w:rPr>
              <w:t xml:space="preserve">is the wholesale energy marketing and trading arm of Cornerstone Propane (NYSE:CNO), the 4th largest US propane retailer. Responsibilities at Coast Energy included developing an NGL marketing and supply services business and evaluating acquisition opportunities for NGL storage and transportation systems. </w:t>
            </w:r>
          </w:p>
          <w:p>
            <w:pPr>
              <w:pStyle w:val="BodyText"/>
              <w:rPr/>
            </w:pPr>
            <w:r>
              <w:rPr>
                <w:rFonts w:cs="Verdana" w:ascii="Verdana" w:hAnsi="Verdana"/>
                <w:b/>
                <w:bCs/>
                <w:sz w:val="18"/>
                <w:szCs w:val="20"/>
              </w:rPr>
              <w:t>Accomplishments:</w:t>
            </w:r>
            <w:r>
              <w:rPr>
                <w:rFonts w:cs="Verdana" w:ascii="Verdana" w:hAnsi="Verdana"/>
                <w:sz w:val="18"/>
                <w:szCs w:val="20"/>
              </w:rPr>
              <w:t xml:space="preserve"> Executed a trade clearing feasibility study agreement with one of the world's largest international commodity exchanges. Completed a strategic alliance relationship with SAGA Software (NYSE:AGS) as an integration solution. Spoke at the e-ProCom 2000 conference (“Integration Challenges") and Houston Energy Credit Association meeting (“B2B Online Clearing Services”). Lead acquisition teams at Coast Energy evaluating the assets of SCANA Storage &amp; Pipeline System and Texaco Wholesale Propane Company.</w:t>
            </w:r>
          </w:p>
        </w:tc>
      </w:tr>
      <w:tr>
        <w:trPr/>
        <w:tc>
          <w:tcPr>
            <w:tcW w:w="154" w:type="dxa"/>
            <w:tcBorders/>
            <w:vAlign w:val="center"/>
          </w:tcPr>
          <w:p>
            <w:pPr>
              <w:pStyle w:val="BodyText"/>
              <w:rPr>
                <w:rFonts w:ascii="Verdana" w:hAnsi="Verdana" w:eastAsia="Arial Unicode MS" w:cs="Verdana"/>
                <w:sz w:val="18"/>
              </w:rPr>
            </w:pPr>
            <w:r>
              <w:rPr>
                <w:rFonts w:cs="Verdana" w:ascii="Verdana" w:hAnsi="Verdana"/>
                <w:sz w:val="18"/>
              </w:rPr>
              <w:t> </w:t>
            </w:r>
          </w:p>
        </w:tc>
        <w:tc>
          <w:tcPr>
            <w:tcW w:w="9447" w:type="dxa"/>
            <w:gridSpan w:val="2"/>
            <w:tcBorders/>
            <w:vAlign w:val="center"/>
          </w:tcPr>
          <w:p>
            <w:pPr>
              <w:pStyle w:val="BodyText"/>
              <w:rPr>
                <w:rFonts w:ascii="Verdana" w:hAnsi="Verdana" w:eastAsia="Arial Unicode MS" w:cs="Verdana"/>
                <w:sz w:val="18"/>
              </w:rPr>
            </w:pPr>
            <w:r>
              <w:rPr>
                <w:rFonts w:cs="Verdana" w:ascii="Verdana" w:hAnsi="Verdana"/>
                <w:sz w:val="18"/>
              </w:rPr>
              <w:t> </w:t>
            </w:r>
          </w:p>
        </w:tc>
      </w:tr>
      <w:tr>
        <w:trPr/>
        <w:tc>
          <w:tcPr>
            <w:tcW w:w="154" w:type="dxa"/>
            <w:tcBorders/>
            <w:vAlign w:val="center"/>
          </w:tcPr>
          <w:p>
            <w:pPr>
              <w:pStyle w:val="BodyText"/>
              <w:rPr>
                <w:rFonts w:ascii="Verdana" w:hAnsi="Verdana" w:eastAsia="Arial Unicode MS" w:cs="Verdana"/>
                <w:sz w:val="18"/>
              </w:rPr>
            </w:pPr>
            <w:r>
              <w:rPr>
                <w:rFonts w:cs="Verdana" w:ascii="Verdana" w:hAnsi="Verdana"/>
                <w:sz w:val="18"/>
              </w:rPr>
              <w:t> </w:t>
            </w:r>
          </w:p>
        </w:tc>
        <w:tc>
          <w:tcPr>
            <w:tcW w:w="160" w:type="dxa"/>
            <w:tcBorders/>
            <w:vAlign w:val="center"/>
          </w:tcPr>
          <w:p>
            <w:pPr>
              <w:pStyle w:val="BodyText"/>
              <w:rPr>
                <w:rFonts w:ascii="Verdana" w:hAnsi="Verdana" w:eastAsia="Arial Unicode MS" w:cs="Verdana"/>
                <w:sz w:val="18"/>
              </w:rPr>
            </w:pPr>
            <w:r>
              <w:rPr>
                <w:rFonts w:cs="Verdana" w:ascii="Verdana" w:hAnsi="Verdana"/>
                <w:sz w:val="18"/>
              </w:rPr>
              <w:t> </w:t>
            </w:r>
          </w:p>
        </w:tc>
        <w:tc>
          <w:tcPr>
            <w:tcW w:w="9287" w:type="dxa"/>
            <w:tcBorders/>
            <w:vAlign w:val="center"/>
          </w:tcPr>
          <w:p>
            <w:pPr>
              <w:pStyle w:val="BodyText"/>
              <w:jc w:val="start"/>
              <w:rPr/>
            </w:pPr>
            <w:r>
              <w:rPr>
                <w:rFonts w:cs="Verdana" w:ascii="Verdana" w:hAnsi="Verdana"/>
                <w:b/>
                <w:bCs/>
                <w:sz w:val="18"/>
                <w:szCs w:val="20"/>
                <w:u w:val="single"/>
              </w:rPr>
              <w:t>Coastal Corp.</w:t>
            </w:r>
            <w:r>
              <w:rPr>
                <w:rFonts w:cs="Verdana" w:ascii="Verdana" w:hAnsi="Verdana"/>
                <w:sz w:val="18"/>
                <w:szCs w:val="20"/>
                <w:u w:val="single"/>
              </w:rPr>
              <w:t> (01/1998 - 05/1999), Houston, TX</w:t>
            </w:r>
            <w:r>
              <w:rPr>
                <w:rFonts w:cs="Verdana" w:ascii="Verdana" w:hAnsi="Verdana"/>
                <w:sz w:val="18"/>
                <w:szCs w:val="20"/>
              </w:rPr>
              <w:br/>
            </w:r>
            <w:r>
              <w:rPr>
                <w:rFonts w:cs="Verdana" w:ascii="Verdana" w:hAnsi="Verdana"/>
                <w:i/>
                <w:iCs/>
                <w:sz w:val="18"/>
                <w:szCs w:val="20"/>
              </w:rPr>
              <w:t xml:space="preserve">Manager, Business Development, Coastal States Crude Gathering Co. </w:t>
            </w:r>
          </w:p>
          <w:p>
            <w:pPr>
              <w:pStyle w:val="BodyText"/>
              <w:jc w:val="start"/>
              <w:rPr>
                <w:rFonts w:ascii="Verdana" w:hAnsi="Verdana" w:cs="Verdana"/>
                <w:i/>
                <w:i/>
                <w:iCs/>
                <w:sz w:val="18"/>
                <w:szCs w:val="20"/>
              </w:rPr>
            </w:pPr>
            <w:r>
              <w:rPr>
                <w:rFonts w:cs="Verdana" w:ascii="Verdana" w:hAnsi="Verdana"/>
                <w:i/>
                <w:iCs/>
                <w:sz w:val="18"/>
                <w:szCs w:val="20"/>
              </w:rPr>
            </w:r>
          </w:p>
          <w:p>
            <w:pPr>
              <w:pStyle w:val="BodyText"/>
              <w:rPr/>
            </w:pPr>
            <w:r>
              <w:rPr>
                <w:rFonts w:cs="Verdana" w:ascii="Verdana" w:hAnsi="Verdana"/>
                <w:sz w:val="18"/>
                <w:szCs w:val="20"/>
              </w:rPr>
              <w:t xml:space="preserve">Coastal </w:t>
            </w:r>
            <w:r>
              <w:rPr>
                <w:rFonts w:cs="Verdana" w:ascii="Verdana" w:hAnsi="Verdana"/>
                <w:i/>
                <w:iCs/>
                <w:sz w:val="18"/>
                <w:szCs w:val="20"/>
              </w:rPr>
              <w:t>(</w:t>
            </w:r>
            <w:hyperlink r:id="rId4">
              <w:r>
                <w:rPr>
                  <w:rStyle w:val="Hyperlink"/>
                  <w:rFonts w:cs="Verdana" w:ascii="Verdana" w:hAnsi="Verdana"/>
                  <w:i/>
                  <w:iCs/>
                  <w:sz w:val="18"/>
                  <w:szCs w:val="20"/>
                </w:rPr>
                <w:t>www.coastalcorp.com</w:t>
              </w:r>
            </w:hyperlink>
            <w:r>
              <w:rPr>
                <w:rFonts w:cs="Verdana" w:ascii="Verdana" w:hAnsi="Verdana"/>
                <w:i/>
                <w:iCs/>
                <w:sz w:val="18"/>
                <w:szCs w:val="20"/>
              </w:rPr>
              <w:t xml:space="preserve">) </w:t>
            </w:r>
            <w:r>
              <w:rPr>
                <w:rFonts w:cs="Verdana" w:ascii="Verdana" w:hAnsi="Verdana"/>
                <w:sz w:val="18"/>
                <w:szCs w:val="20"/>
              </w:rPr>
              <w:t xml:space="preserve">is a $16.9 billion market cap (NYSE:CGP) fully-integrated international oil &amp; gas company. Responsibilities included developing crude oil, refined products and NGL pipeline and storage projects along the Texas and Louisiana Gulf Coast. </w:t>
            </w:r>
          </w:p>
          <w:p>
            <w:pPr>
              <w:pStyle w:val="BodyText"/>
              <w:rPr/>
            </w:pPr>
            <w:r>
              <w:rPr>
                <w:rFonts w:cs="Verdana" w:ascii="Verdana" w:hAnsi="Verdana"/>
                <w:b/>
                <w:bCs/>
                <w:sz w:val="18"/>
                <w:szCs w:val="20"/>
              </w:rPr>
              <w:t>Accomplishments:</w:t>
            </w:r>
            <w:r>
              <w:rPr>
                <w:rFonts w:cs="Verdana" w:ascii="Verdana" w:hAnsi="Verdana"/>
                <w:sz w:val="18"/>
                <w:szCs w:val="20"/>
              </w:rPr>
              <w:t xml:space="preserve"> Evaluated the acquisition of Hess Gulf Coast Terminals bid package (three million barrels). Built a financial model for developing a one million barrel crude oil import terminal near Corpus Christi. Developed optimization economics for a gas turbine drive pump station.</w:t>
            </w:r>
          </w:p>
        </w:tc>
      </w:tr>
      <w:tr>
        <w:trPr/>
        <w:tc>
          <w:tcPr>
            <w:tcW w:w="154" w:type="dxa"/>
            <w:tcBorders/>
            <w:vAlign w:val="center"/>
          </w:tcPr>
          <w:p>
            <w:pPr>
              <w:pStyle w:val="BodyText"/>
              <w:rPr>
                <w:rFonts w:ascii="Verdana" w:hAnsi="Verdana" w:eastAsia="Arial Unicode MS" w:cs="Verdana"/>
                <w:sz w:val="18"/>
              </w:rPr>
            </w:pPr>
            <w:r>
              <w:rPr>
                <w:rFonts w:cs="Verdana" w:ascii="Verdana" w:hAnsi="Verdana"/>
                <w:sz w:val="18"/>
              </w:rPr>
              <w:t> </w:t>
            </w:r>
          </w:p>
        </w:tc>
        <w:tc>
          <w:tcPr>
            <w:tcW w:w="9447" w:type="dxa"/>
            <w:gridSpan w:val="2"/>
            <w:tcBorders/>
            <w:vAlign w:val="center"/>
          </w:tcPr>
          <w:p>
            <w:pPr>
              <w:pStyle w:val="BodyText"/>
              <w:rPr>
                <w:rFonts w:ascii="Verdana" w:hAnsi="Verdana" w:eastAsia="Arial Unicode MS" w:cs="Verdana"/>
                <w:sz w:val="18"/>
              </w:rPr>
            </w:pPr>
            <w:r>
              <w:rPr>
                <w:rFonts w:cs="Verdana" w:ascii="Verdana" w:hAnsi="Verdana"/>
                <w:sz w:val="18"/>
              </w:rPr>
              <w:t> </w:t>
            </w:r>
          </w:p>
        </w:tc>
      </w:tr>
      <w:tr>
        <w:trPr/>
        <w:tc>
          <w:tcPr>
            <w:tcW w:w="154" w:type="dxa"/>
            <w:tcBorders/>
            <w:vAlign w:val="center"/>
          </w:tcPr>
          <w:p>
            <w:pPr>
              <w:pStyle w:val="BodyText"/>
              <w:rPr>
                <w:rFonts w:ascii="Verdana" w:hAnsi="Verdana" w:eastAsia="Arial Unicode MS" w:cs="Verdana"/>
                <w:sz w:val="18"/>
              </w:rPr>
            </w:pPr>
            <w:r>
              <w:rPr>
                <w:rFonts w:cs="Verdana" w:ascii="Verdana" w:hAnsi="Verdana"/>
                <w:sz w:val="18"/>
              </w:rPr>
              <w:t> </w:t>
            </w:r>
          </w:p>
        </w:tc>
        <w:tc>
          <w:tcPr>
            <w:tcW w:w="160" w:type="dxa"/>
            <w:tcBorders/>
            <w:vAlign w:val="center"/>
          </w:tcPr>
          <w:p>
            <w:pPr>
              <w:pStyle w:val="BodyText"/>
              <w:rPr>
                <w:rFonts w:ascii="Verdana" w:hAnsi="Verdana" w:eastAsia="Arial Unicode MS" w:cs="Verdana"/>
                <w:sz w:val="18"/>
              </w:rPr>
            </w:pPr>
            <w:r>
              <w:rPr>
                <w:rFonts w:cs="Verdana" w:ascii="Verdana" w:hAnsi="Verdana"/>
                <w:sz w:val="18"/>
              </w:rPr>
              <w:t> </w:t>
            </w:r>
          </w:p>
        </w:tc>
        <w:tc>
          <w:tcPr>
            <w:tcW w:w="9287" w:type="dxa"/>
            <w:tcBorders/>
            <w:vAlign w:val="center"/>
          </w:tcPr>
          <w:p>
            <w:pPr>
              <w:pStyle w:val="BodyText"/>
              <w:jc w:val="start"/>
              <w:rPr/>
            </w:pPr>
            <w:r>
              <w:rPr>
                <w:rFonts w:cs="Verdana" w:ascii="Verdana" w:hAnsi="Verdana"/>
                <w:b/>
                <w:bCs/>
                <w:sz w:val="18"/>
                <w:szCs w:val="20"/>
                <w:u w:val="single"/>
              </w:rPr>
              <w:t>Gulf Interstate Engineering</w:t>
            </w:r>
            <w:r>
              <w:rPr>
                <w:rFonts w:cs="Verdana" w:ascii="Verdana" w:hAnsi="Verdana"/>
                <w:sz w:val="18"/>
                <w:szCs w:val="20"/>
                <w:u w:val="single"/>
              </w:rPr>
              <w:t xml:space="preserve"> (04/1996 – 12/1997), Houston, TX</w:t>
            </w:r>
            <w:r>
              <w:rPr>
                <w:rFonts w:cs="Verdana" w:ascii="Verdana" w:hAnsi="Verdana"/>
                <w:sz w:val="18"/>
                <w:szCs w:val="20"/>
              </w:rPr>
              <w:br/>
            </w:r>
            <w:r>
              <w:rPr>
                <w:rFonts w:cs="Verdana" w:ascii="Verdana" w:hAnsi="Verdana"/>
                <w:i/>
                <w:iCs/>
                <w:sz w:val="18"/>
                <w:szCs w:val="20"/>
              </w:rPr>
              <w:t>Account Manager, Business Development</w:t>
            </w:r>
          </w:p>
          <w:p>
            <w:pPr>
              <w:pStyle w:val="BodyText"/>
              <w:jc w:val="start"/>
              <w:rPr>
                <w:rFonts w:ascii="Verdana" w:hAnsi="Verdana" w:cs="Verdana"/>
                <w:i/>
                <w:i/>
                <w:iCs/>
                <w:sz w:val="18"/>
                <w:szCs w:val="20"/>
              </w:rPr>
            </w:pPr>
            <w:r>
              <w:rPr>
                <w:rFonts w:cs="Verdana" w:ascii="Verdana" w:hAnsi="Verdana"/>
                <w:i/>
                <w:iCs/>
                <w:sz w:val="18"/>
                <w:szCs w:val="20"/>
              </w:rPr>
            </w:r>
          </w:p>
          <w:p>
            <w:pPr>
              <w:pStyle w:val="BodyText"/>
              <w:rPr/>
            </w:pPr>
            <w:r>
              <w:rPr>
                <w:rFonts w:cs="Verdana" w:ascii="Verdana" w:hAnsi="Verdana"/>
                <w:sz w:val="18"/>
                <w:szCs w:val="20"/>
              </w:rPr>
              <w:t xml:space="preserve">GIE </w:t>
            </w:r>
            <w:r>
              <w:rPr>
                <w:rFonts w:cs="Verdana" w:ascii="Verdana" w:hAnsi="Verdana"/>
                <w:i/>
                <w:iCs/>
                <w:sz w:val="18"/>
                <w:szCs w:val="20"/>
              </w:rPr>
              <w:t>(</w:t>
            </w:r>
            <w:hyperlink r:id="rId5">
              <w:r>
                <w:rPr>
                  <w:rStyle w:val="Hyperlink"/>
                  <w:rFonts w:cs="Verdana" w:ascii="Verdana" w:hAnsi="Verdana"/>
                  <w:i/>
                  <w:iCs/>
                  <w:sz w:val="18"/>
                  <w:szCs w:val="20"/>
                </w:rPr>
                <w:t>www.gie.com</w:t>
              </w:r>
            </w:hyperlink>
            <w:r>
              <w:rPr>
                <w:rFonts w:cs="Verdana" w:ascii="Verdana" w:hAnsi="Verdana"/>
                <w:i/>
                <w:iCs/>
                <w:sz w:val="18"/>
                <w:szCs w:val="20"/>
              </w:rPr>
              <w:t xml:space="preserve">) </w:t>
            </w:r>
            <w:r>
              <w:rPr>
                <w:rFonts w:cs="Verdana" w:ascii="Verdana" w:hAnsi="Verdana"/>
                <w:sz w:val="18"/>
                <w:szCs w:val="20"/>
              </w:rPr>
              <w:t xml:space="preserve">is a privately held $35 million (revenue) engineering company with design, procurement and construction management services capabilities for domestic and international oil and gas pipelines and storage systems. Focused on marketing GIE’s engineering services to North American natural gas pipeline expansion projects, Venezuelan heavy oil projects, Colombian and Ecuadorian field development projects and feasibility studies in Russia, Azerbaijan and Georgia. Responsibilities included originating bid opportunities, managing proposals, making presentations to clients and preparing marketing plans and forecasts. </w:t>
            </w:r>
          </w:p>
          <w:p>
            <w:pPr>
              <w:pStyle w:val="BodyText"/>
              <w:rPr/>
            </w:pPr>
            <w:r>
              <w:rPr>
                <w:rFonts w:cs="Verdana" w:ascii="Verdana" w:hAnsi="Verdana"/>
                <w:b/>
                <w:bCs/>
                <w:sz w:val="18"/>
                <w:szCs w:val="20"/>
              </w:rPr>
              <w:t>Accomplishments:</w:t>
            </w:r>
            <w:r>
              <w:rPr>
                <w:rFonts w:cs="Verdana" w:ascii="Verdana" w:hAnsi="Verdana"/>
                <w:sz w:val="18"/>
                <w:szCs w:val="20"/>
              </w:rPr>
              <w:t xml:space="preserve"> Identified more than $20 million in engineering services revenue opportunities, including successful international contract awards in Trinidad, Venezuela and Colombia and domestic awards with Columbia Gulf and Pennzoil.</w:t>
            </w:r>
          </w:p>
        </w:tc>
      </w:tr>
      <w:tr>
        <w:trPr/>
        <w:tc>
          <w:tcPr>
            <w:tcW w:w="154" w:type="dxa"/>
            <w:tcBorders/>
            <w:vAlign w:val="center"/>
          </w:tcPr>
          <w:p>
            <w:pPr>
              <w:pStyle w:val="BodyText"/>
              <w:rPr>
                <w:rFonts w:ascii="Verdana" w:hAnsi="Verdana" w:eastAsia="Arial Unicode MS" w:cs="Verdana"/>
                <w:sz w:val="18"/>
              </w:rPr>
            </w:pPr>
            <w:r>
              <w:rPr>
                <w:rFonts w:cs="Verdana" w:ascii="Verdana" w:hAnsi="Verdana"/>
                <w:sz w:val="18"/>
              </w:rPr>
              <w:t> </w:t>
            </w:r>
          </w:p>
        </w:tc>
        <w:tc>
          <w:tcPr>
            <w:tcW w:w="9447" w:type="dxa"/>
            <w:gridSpan w:val="2"/>
            <w:tcBorders/>
            <w:vAlign w:val="center"/>
          </w:tcPr>
          <w:p>
            <w:pPr>
              <w:pStyle w:val="BodyText"/>
              <w:rPr>
                <w:rFonts w:ascii="Verdana" w:hAnsi="Verdana" w:eastAsia="Arial Unicode MS" w:cs="Verdana"/>
                <w:sz w:val="18"/>
              </w:rPr>
            </w:pPr>
            <w:r>
              <w:rPr>
                <w:rFonts w:cs="Verdana" w:ascii="Verdana" w:hAnsi="Verdana"/>
                <w:sz w:val="18"/>
              </w:rPr>
              <w:t> </w:t>
            </w:r>
          </w:p>
        </w:tc>
      </w:tr>
    </w:tbl>
    <w:p>
      <w:pPr>
        <w:pStyle w:val="BodyText"/>
        <w:rPr>
          <w:rFonts w:ascii="Verdana" w:hAnsi="Verdana" w:cs="Verdana"/>
          <w:sz w:val="18"/>
        </w:rPr>
      </w:pPr>
      <w:r>
        <w:br w:type="page"/>
      </w:r>
      <w:r>
        <w:rPr>
          <w:rFonts w:cs="Verdana" w:ascii="Verdana" w:hAnsi="Verdana"/>
          <w:sz w:val="18"/>
        </w:rPr>
      </w:r>
    </w:p>
    <w:tbl>
      <w:tblPr>
        <w:tblW w:w="9106" w:type="dxa"/>
        <w:jc w:val="center"/>
        <w:tblInd w:w="0" w:type="dxa"/>
        <w:tblLayout w:type="fixed"/>
        <w:tblCellMar>
          <w:top w:w="30" w:type="dxa"/>
          <w:start w:w="30" w:type="dxa"/>
          <w:bottom w:w="30" w:type="dxa"/>
          <w:end w:w="30" w:type="dxa"/>
        </w:tblCellMar>
      </w:tblPr>
      <w:tblGrid>
        <w:gridCol w:w="154"/>
        <w:gridCol w:w="224"/>
        <w:gridCol w:w="8728"/>
      </w:tblGrid>
      <w:tr>
        <w:trPr/>
        <w:tc>
          <w:tcPr>
            <w:tcW w:w="154" w:type="dxa"/>
            <w:tcBorders/>
            <w:vAlign w:val="center"/>
          </w:tcPr>
          <w:p>
            <w:pPr>
              <w:pStyle w:val="BodyText"/>
              <w:rPr>
                <w:rFonts w:ascii="Verdana" w:hAnsi="Verdana" w:eastAsia="Arial Unicode MS" w:cs="Verdana"/>
                <w:sz w:val="18"/>
              </w:rPr>
            </w:pPr>
            <w:r>
              <w:rPr>
                <w:rFonts w:cs="Verdana" w:ascii="Verdana" w:hAnsi="Verdana"/>
                <w:sz w:val="18"/>
              </w:rPr>
              <w:t> </w:t>
            </w:r>
          </w:p>
        </w:tc>
        <w:tc>
          <w:tcPr>
            <w:tcW w:w="224" w:type="dxa"/>
            <w:tcBorders/>
            <w:vAlign w:val="center"/>
          </w:tcPr>
          <w:p>
            <w:pPr>
              <w:pStyle w:val="BodyText"/>
              <w:rPr>
                <w:rFonts w:ascii="Verdana" w:hAnsi="Verdana" w:eastAsia="Arial Unicode MS" w:cs="Verdana"/>
                <w:sz w:val="18"/>
              </w:rPr>
            </w:pPr>
            <w:r>
              <w:rPr>
                <w:rFonts w:cs="Verdana" w:ascii="Verdana" w:hAnsi="Verdana"/>
                <w:sz w:val="18"/>
              </w:rPr>
              <w:t> </w:t>
            </w:r>
          </w:p>
        </w:tc>
        <w:tc>
          <w:tcPr>
            <w:tcW w:w="8728" w:type="dxa"/>
            <w:tcBorders/>
            <w:vAlign w:val="center"/>
          </w:tcPr>
          <w:p>
            <w:pPr>
              <w:pStyle w:val="BodyText"/>
              <w:jc w:val="start"/>
              <w:rPr/>
            </w:pPr>
            <w:r>
              <w:rPr>
                <w:rFonts w:cs="Verdana" w:ascii="Verdana" w:hAnsi="Verdana"/>
                <w:b/>
                <w:bCs/>
                <w:sz w:val="18"/>
                <w:szCs w:val="20"/>
                <w:u w:val="single"/>
              </w:rPr>
              <w:t xml:space="preserve">TransWorld Oil </w:t>
            </w:r>
            <w:r>
              <w:rPr>
                <w:rFonts w:cs="Verdana" w:ascii="Verdana" w:hAnsi="Verdana"/>
                <w:sz w:val="18"/>
                <w:szCs w:val="20"/>
                <w:u w:val="single"/>
              </w:rPr>
              <w:t>(09/1994 - 03/1996), Houston, TX / Moscow, Russia</w:t>
            </w:r>
            <w:r>
              <w:rPr>
                <w:rFonts w:cs="Verdana" w:ascii="Verdana" w:hAnsi="Verdana"/>
                <w:sz w:val="18"/>
                <w:szCs w:val="20"/>
              </w:rPr>
              <w:br/>
            </w:r>
            <w:r>
              <w:rPr>
                <w:rFonts w:cs="Verdana" w:ascii="Verdana" w:hAnsi="Verdana"/>
                <w:i/>
                <w:iCs/>
                <w:sz w:val="18"/>
                <w:szCs w:val="20"/>
              </w:rPr>
              <w:t>Manager, Planning &amp; Finance, Caspian Pipeline Consortium (CPC)</w:t>
            </w:r>
          </w:p>
          <w:p>
            <w:pPr>
              <w:pStyle w:val="BodyText"/>
              <w:jc w:val="start"/>
              <w:rPr>
                <w:rFonts w:ascii="Verdana" w:hAnsi="Verdana" w:cs="Verdana"/>
                <w:i/>
                <w:i/>
                <w:iCs/>
                <w:sz w:val="18"/>
                <w:szCs w:val="20"/>
              </w:rPr>
            </w:pPr>
            <w:r>
              <w:rPr>
                <w:rFonts w:cs="Verdana" w:ascii="Verdana" w:hAnsi="Verdana"/>
                <w:i/>
                <w:iCs/>
                <w:sz w:val="18"/>
                <w:szCs w:val="20"/>
              </w:rPr>
            </w:r>
          </w:p>
          <w:p>
            <w:pPr>
              <w:pStyle w:val="BodyText"/>
              <w:rPr/>
            </w:pPr>
            <w:r>
              <w:rPr>
                <w:rFonts w:cs="Verdana" w:ascii="Verdana" w:hAnsi="Verdana"/>
                <w:sz w:val="18"/>
                <w:szCs w:val="20"/>
              </w:rPr>
              <w:t xml:space="preserve">CPC </w:t>
            </w:r>
            <w:r>
              <w:rPr>
                <w:rFonts w:cs="Verdana" w:ascii="Verdana" w:hAnsi="Verdana"/>
                <w:i/>
                <w:iCs/>
                <w:sz w:val="18"/>
                <w:szCs w:val="20"/>
              </w:rPr>
              <w:t>(</w:t>
            </w:r>
            <w:hyperlink r:id="rId6">
              <w:r>
                <w:rPr>
                  <w:rStyle w:val="Hyperlink"/>
                  <w:rFonts w:cs="Verdana" w:ascii="Verdana" w:hAnsi="Verdana"/>
                  <w:i/>
                  <w:iCs/>
                  <w:sz w:val="18"/>
                  <w:szCs w:val="20"/>
                </w:rPr>
                <w:t>www.cpcpipeline.com</w:t>
              </w:r>
            </w:hyperlink>
            <w:r>
              <w:rPr>
                <w:rFonts w:cs="Verdana" w:ascii="Verdana" w:hAnsi="Verdana"/>
                <w:i/>
                <w:iCs/>
                <w:sz w:val="18"/>
                <w:szCs w:val="20"/>
              </w:rPr>
              <w:t xml:space="preserve">) </w:t>
            </w:r>
            <w:r>
              <w:rPr>
                <w:rFonts w:cs="Verdana" w:ascii="Verdana" w:hAnsi="Verdana"/>
                <w:sz w:val="18"/>
                <w:szCs w:val="20"/>
              </w:rPr>
              <w:t xml:space="preserve">is a $2.5 billion </w:t>
            </w:r>
            <w:r>
              <w:rPr>
                <w:rFonts w:cs="Verdana" w:ascii="Verdana" w:hAnsi="Verdana"/>
                <w:color w:val="000000"/>
                <w:sz w:val="18"/>
              </w:rPr>
              <w:t xml:space="preserve">40-inch, 1,000-mile </w:t>
            </w:r>
            <w:r>
              <w:rPr>
                <w:rFonts w:cs="Verdana" w:ascii="Verdana" w:hAnsi="Verdana"/>
                <w:sz w:val="18"/>
                <w:szCs w:val="20"/>
              </w:rPr>
              <w:t xml:space="preserve">crude oil export </w:t>
            </w:r>
            <w:r>
              <w:rPr>
                <w:rStyle w:val="Strong"/>
                <w:rFonts w:cs="Verdana" w:ascii="Verdana" w:hAnsi="Verdana"/>
                <w:b w:val="false"/>
                <w:bCs w:val="false"/>
                <w:color w:val="000000"/>
                <w:sz w:val="18"/>
              </w:rPr>
              <w:t>pipeline system</w:t>
            </w:r>
            <w:r>
              <w:rPr>
                <w:rFonts w:cs="Verdana" w:ascii="Verdana" w:hAnsi="Verdana"/>
                <w:color w:val="000000"/>
                <w:sz w:val="18"/>
              </w:rPr>
              <w:t xml:space="preserve"> running from the Caspian Basin to a deep-water terminal on the Black Sea with a mid-2001 completion date target. I</w:t>
            </w:r>
            <w:r>
              <w:rPr>
                <w:rFonts w:cs="Verdana" w:ascii="Verdana" w:hAnsi="Verdana"/>
                <w:sz w:val="18"/>
                <w:szCs w:val="20"/>
              </w:rPr>
              <w:t>nternational ownership includes g</w:t>
            </w:r>
            <w:r>
              <w:rPr>
                <w:rFonts w:cs="Verdana" w:ascii="Verdana" w:hAnsi="Verdana"/>
                <w:color w:val="000000"/>
                <w:sz w:val="18"/>
              </w:rPr>
              <w:t xml:space="preserve">overnments of Russia, Kazakhstan and Oman, and a group of local and international oil producers. </w:t>
            </w:r>
            <w:r>
              <w:rPr>
                <w:rFonts w:cs="Verdana" w:ascii="Verdana" w:hAnsi="Verdana"/>
                <w:sz w:val="18"/>
                <w:szCs w:val="20"/>
              </w:rPr>
              <w:t xml:space="preserve">Responsibilities included managing Russian operations &amp; maintenance (O&amp;M) contractors, negotiating O&amp;M contractors' monthly and annual budgets, supervising CPC interpreters and administrative staff, and developing project economics, tariff models and capital and operating budgets. </w:t>
            </w:r>
          </w:p>
          <w:p>
            <w:pPr>
              <w:pStyle w:val="BodyText"/>
              <w:rPr/>
            </w:pPr>
            <w:r>
              <w:rPr>
                <w:rFonts w:cs="Verdana" w:ascii="Verdana" w:hAnsi="Verdana"/>
                <w:b/>
                <w:bCs/>
                <w:sz w:val="18"/>
                <w:szCs w:val="20"/>
              </w:rPr>
              <w:t>Accomplishments:</w:t>
            </w:r>
            <w:r>
              <w:rPr>
                <w:rFonts w:cs="Verdana" w:ascii="Verdana" w:hAnsi="Verdana"/>
                <w:sz w:val="18"/>
                <w:szCs w:val="20"/>
              </w:rPr>
              <w:t xml:space="preserve"> Reduced consortium's annual pipeline maintenance costs by $1.5 million through negotiations with Russian O&amp;M contractors. Successfully served as interim pipeline operations manager for eight months.</w:t>
            </w:r>
          </w:p>
        </w:tc>
      </w:tr>
      <w:tr>
        <w:trPr/>
        <w:tc>
          <w:tcPr>
            <w:tcW w:w="154" w:type="dxa"/>
            <w:tcBorders/>
            <w:vAlign w:val="center"/>
          </w:tcPr>
          <w:p>
            <w:pPr>
              <w:pStyle w:val="BodyText"/>
              <w:rPr>
                <w:rFonts w:ascii="Verdana" w:hAnsi="Verdana" w:eastAsia="Arial Unicode MS" w:cs="Verdana"/>
                <w:sz w:val="18"/>
              </w:rPr>
            </w:pPr>
            <w:r>
              <w:rPr>
                <w:rFonts w:cs="Verdana" w:ascii="Verdana" w:hAnsi="Verdana"/>
                <w:sz w:val="18"/>
              </w:rPr>
              <w:t> </w:t>
            </w:r>
          </w:p>
        </w:tc>
        <w:tc>
          <w:tcPr>
            <w:tcW w:w="8952" w:type="dxa"/>
            <w:gridSpan w:val="2"/>
            <w:tcBorders/>
            <w:vAlign w:val="center"/>
          </w:tcPr>
          <w:p>
            <w:pPr>
              <w:pStyle w:val="BodyText"/>
              <w:rPr>
                <w:rFonts w:ascii="Verdana" w:hAnsi="Verdana" w:eastAsia="Arial Unicode MS" w:cs="Verdana"/>
                <w:sz w:val="18"/>
              </w:rPr>
            </w:pPr>
            <w:r>
              <w:rPr>
                <w:rFonts w:cs="Verdana" w:ascii="Verdana" w:hAnsi="Verdana"/>
                <w:sz w:val="18"/>
              </w:rPr>
              <w:t> </w:t>
            </w:r>
          </w:p>
        </w:tc>
      </w:tr>
      <w:tr>
        <w:trPr/>
        <w:tc>
          <w:tcPr>
            <w:tcW w:w="154" w:type="dxa"/>
            <w:tcBorders/>
            <w:vAlign w:val="center"/>
          </w:tcPr>
          <w:p>
            <w:pPr>
              <w:pStyle w:val="BodyText"/>
              <w:rPr>
                <w:rFonts w:ascii="Verdana" w:hAnsi="Verdana" w:eastAsia="Arial Unicode MS" w:cs="Verdana"/>
                <w:sz w:val="18"/>
              </w:rPr>
            </w:pPr>
            <w:r>
              <w:rPr>
                <w:rFonts w:cs="Verdana" w:ascii="Verdana" w:hAnsi="Verdana"/>
                <w:sz w:val="18"/>
              </w:rPr>
              <w:t> </w:t>
            </w:r>
          </w:p>
        </w:tc>
        <w:tc>
          <w:tcPr>
            <w:tcW w:w="224" w:type="dxa"/>
            <w:tcBorders/>
            <w:vAlign w:val="center"/>
          </w:tcPr>
          <w:p>
            <w:pPr>
              <w:pStyle w:val="BodyText"/>
              <w:rPr>
                <w:rFonts w:ascii="Verdana" w:hAnsi="Verdana" w:eastAsia="Arial Unicode MS" w:cs="Verdana"/>
                <w:sz w:val="18"/>
              </w:rPr>
            </w:pPr>
            <w:r>
              <w:rPr>
                <w:rFonts w:cs="Verdana" w:ascii="Verdana" w:hAnsi="Verdana"/>
                <w:sz w:val="18"/>
              </w:rPr>
              <w:t> </w:t>
            </w:r>
          </w:p>
        </w:tc>
        <w:tc>
          <w:tcPr>
            <w:tcW w:w="8728" w:type="dxa"/>
            <w:tcBorders/>
            <w:vAlign w:val="center"/>
          </w:tcPr>
          <w:p>
            <w:pPr>
              <w:pStyle w:val="BodyText"/>
              <w:rPr/>
            </w:pPr>
            <w:r>
              <w:rPr>
                <w:rFonts w:cs="Verdana" w:ascii="Verdana" w:hAnsi="Verdana"/>
                <w:b/>
                <w:bCs/>
                <w:sz w:val="18"/>
                <w:szCs w:val="20"/>
                <w:u w:val="single"/>
              </w:rPr>
              <w:t>Conoco, Inc.</w:t>
            </w:r>
            <w:r>
              <w:rPr>
                <w:rFonts w:cs="Verdana" w:ascii="Verdana" w:hAnsi="Verdana"/>
                <w:sz w:val="18"/>
                <w:szCs w:val="20"/>
                <w:u w:val="single"/>
              </w:rPr>
              <w:t xml:space="preserve"> (02/1986 - 08/1994), Houston, TX</w:t>
            </w:r>
          </w:p>
          <w:p>
            <w:pPr>
              <w:pStyle w:val="BodyText"/>
              <w:rPr>
                <w:rFonts w:ascii="Verdana" w:hAnsi="Verdana" w:cs="Verdana"/>
                <w:sz w:val="18"/>
              </w:rPr>
            </w:pPr>
            <w:r>
              <w:rPr>
                <w:rFonts w:cs="Verdana" w:ascii="Verdana" w:hAnsi="Verdana"/>
                <w:sz w:val="18"/>
              </w:rPr>
              <w:t>Coordinator-Russian Pipelines, Coordinator-Supply &amp; Trading, Technical Sales Representative-Specialty Products, Administrative Coordinator-Specialty Products, Analyst-Supply &amp; Transportation, Associate Analyst–Surface Transportation</w:t>
            </w:r>
          </w:p>
          <w:p>
            <w:pPr>
              <w:pStyle w:val="BodyText"/>
              <w:rPr>
                <w:rFonts w:ascii="Verdana" w:hAnsi="Verdana" w:cs="Verdana"/>
                <w:sz w:val="18"/>
              </w:rPr>
            </w:pPr>
            <w:r>
              <w:rPr>
                <w:rFonts w:cs="Verdana" w:ascii="Verdana" w:hAnsi="Verdana"/>
                <w:sz w:val="18"/>
              </w:rPr>
            </w:r>
          </w:p>
          <w:p>
            <w:pPr>
              <w:pStyle w:val="BodyText"/>
              <w:rPr/>
            </w:pPr>
            <w:r>
              <w:rPr>
                <w:rFonts w:cs="Verdana" w:ascii="Verdana" w:hAnsi="Verdana"/>
                <w:sz w:val="18"/>
                <w:szCs w:val="20"/>
              </w:rPr>
              <w:t xml:space="preserve">Conoco </w:t>
            </w:r>
            <w:r>
              <w:rPr>
                <w:rFonts w:cs="Verdana" w:ascii="Verdana" w:hAnsi="Verdana"/>
                <w:sz w:val="18"/>
              </w:rPr>
              <w:t>(</w:t>
            </w:r>
            <w:hyperlink r:id="rId7">
              <w:r>
                <w:rPr>
                  <w:rStyle w:val="Hyperlink"/>
                  <w:rFonts w:cs="Verdana" w:ascii="Verdana" w:hAnsi="Verdana"/>
                  <w:sz w:val="18"/>
                </w:rPr>
                <w:t>www.conoco.com</w:t>
              </w:r>
            </w:hyperlink>
            <w:r>
              <w:rPr>
                <w:rFonts w:cs="Verdana" w:ascii="Verdana" w:hAnsi="Verdana"/>
                <w:sz w:val="18"/>
              </w:rPr>
              <w:t xml:space="preserve">) </w:t>
            </w:r>
            <w:r>
              <w:rPr>
                <w:rFonts w:cs="Verdana" w:ascii="Verdana" w:hAnsi="Verdana"/>
                <w:sz w:val="18"/>
                <w:szCs w:val="20"/>
              </w:rPr>
              <w:t xml:space="preserve">is a $16.9 billion market cap (NYSE:COCb) fully-integrated international oil &amp; gas company. Held six commercial positions including Conoco’s one-year Management Development Program assignment. Broad-based responsibilities included working as project coordinator on a two-year Russian pipeline construction project, project coordinator on a six-month Northern Ireland environmental remediation project, operations coordinator for crude oil trading, scheduler for international crude cargoes, and technical sales representative for an emulsion technology product. </w:t>
            </w:r>
          </w:p>
          <w:p>
            <w:pPr>
              <w:pStyle w:val="BodyText"/>
              <w:rPr/>
            </w:pPr>
            <w:r>
              <w:rPr>
                <w:rFonts w:cs="Verdana" w:ascii="Verdana" w:hAnsi="Verdana"/>
                <w:b/>
                <w:bCs/>
                <w:sz w:val="18"/>
                <w:szCs w:val="20"/>
              </w:rPr>
              <w:t>Accomplishments:</w:t>
            </w:r>
            <w:r>
              <w:rPr>
                <w:rFonts w:cs="Verdana" w:ascii="Verdana" w:hAnsi="Verdana"/>
                <w:sz w:val="18"/>
                <w:szCs w:val="20"/>
              </w:rPr>
              <w:t xml:space="preserve"> Received four group level promotions and two special accomplishment awards. Managed front-end development of a $1.5 million truck terminal project. Finished Conoco’s one-year training program with an “exceeded expectations” rating.</w:t>
            </w:r>
          </w:p>
        </w:tc>
      </w:tr>
      <w:tr>
        <w:trPr/>
        <w:tc>
          <w:tcPr>
            <w:tcW w:w="154" w:type="dxa"/>
            <w:tcBorders/>
            <w:vAlign w:val="center"/>
          </w:tcPr>
          <w:p>
            <w:pPr>
              <w:pStyle w:val="BodyText"/>
              <w:snapToGrid w:val="false"/>
              <w:rPr>
                <w:rFonts w:ascii="Verdana" w:hAnsi="Verdana" w:cs="Verdana"/>
                <w:sz w:val="18"/>
                <w:szCs w:val="20"/>
              </w:rPr>
            </w:pPr>
            <w:r>
              <w:rPr>
                <w:rFonts w:cs="Verdana" w:ascii="Verdana" w:hAnsi="Verdana"/>
                <w:sz w:val="18"/>
                <w:szCs w:val="20"/>
              </w:rPr>
            </w:r>
          </w:p>
        </w:tc>
        <w:tc>
          <w:tcPr>
            <w:tcW w:w="8952" w:type="dxa"/>
            <w:gridSpan w:val="2"/>
            <w:tcBorders/>
            <w:vAlign w:val="center"/>
          </w:tcPr>
          <w:p>
            <w:pPr>
              <w:pStyle w:val="BodyText"/>
              <w:snapToGrid w:val="false"/>
              <w:rPr>
                <w:rFonts w:ascii="Verdana" w:hAnsi="Verdana" w:cs="Verdana"/>
                <w:sz w:val="18"/>
              </w:rPr>
            </w:pPr>
            <w:r>
              <w:rPr>
                <w:rFonts w:cs="Verdana" w:ascii="Verdana" w:hAnsi="Verdana"/>
                <w:sz w:val="18"/>
              </w:rPr>
            </w:r>
          </w:p>
        </w:tc>
      </w:tr>
      <w:tr>
        <w:trPr/>
        <w:tc>
          <w:tcPr>
            <w:tcW w:w="154" w:type="dxa"/>
            <w:tcBorders/>
            <w:vAlign w:val="center"/>
          </w:tcPr>
          <w:p>
            <w:pPr>
              <w:pStyle w:val="BodyText"/>
              <w:snapToGrid w:val="false"/>
              <w:rPr>
                <w:rFonts w:ascii="Verdana" w:hAnsi="Verdana" w:cs="Verdana"/>
                <w:sz w:val="18"/>
                <w:szCs w:val="20"/>
              </w:rPr>
            </w:pPr>
            <w:r>
              <w:rPr>
                <w:rFonts w:cs="Verdana" w:ascii="Verdana" w:hAnsi="Verdana"/>
                <w:sz w:val="18"/>
                <w:szCs w:val="20"/>
              </w:rPr>
            </w:r>
          </w:p>
        </w:tc>
        <w:tc>
          <w:tcPr>
            <w:tcW w:w="224" w:type="dxa"/>
            <w:tcBorders/>
            <w:vAlign w:val="center"/>
          </w:tcPr>
          <w:p>
            <w:pPr>
              <w:pStyle w:val="BodyText"/>
              <w:snapToGrid w:val="false"/>
              <w:rPr>
                <w:rFonts w:ascii="Verdana" w:hAnsi="Verdana" w:cs="Verdana"/>
                <w:sz w:val="18"/>
              </w:rPr>
            </w:pPr>
            <w:r>
              <w:rPr>
                <w:rFonts w:cs="Verdana" w:ascii="Verdana" w:hAnsi="Verdana"/>
                <w:sz w:val="18"/>
              </w:rPr>
            </w:r>
          </w:p>
        </w:tc>
        <w:tc>
          <w:tcPr>
            <w:tcW w:w="8728" w:type="dxa"/>
            <w:tcBorders/>
            <w:vAlign w:val="center"/>
          </w:tcPr>
          <w:p>
            <w:pPr>
              <w:pStyle w:val="BodyText"/>
              <w:jc w:val="start"/>
              <w:rPr/>
            </w:pPr>
            <w:r>
              <w:rPr>
                <w:rFonts w:cs="Verdana" w:ascii="Verdana" w:hAnsi="Verdana"/>
                <w:b/>
                <w:bCs/>
                <w:sz w:val="18"/>
                <w:szCs w:val="20"/>
                <w:u w:val="single"/>
              </w:rPr>
              <w:t>Sprint Corporation</w:t>
            </w:r>
            <w:r>
              <w:rPr>
                <w:rFonts w:cs="Verdana" w:ascii="Verdana" w:hAnsi="Verdana"/>
                <w:sz w:val="18"/>
                <w:szCs w:val="20"/>
                <w:u w:val="single"/>
              </w:rPr>
              <w:t xml:space="preserve"> (06/1985 - 01/1986), Kansas City, MO</w:t>
              <w:br/>
            </w:r>
            <w:r>
              <w:rPr>
                <w:rFonts w:cs="Verdana" w:ascii="Verdana" w:hAnsi="Verdana"/>
                <w:i/>
                <w:iCs/>
                <w:sz w:val="18"/>
                <w:szCs w:val="20"/>
              </w:rPr>
              <w:t>Account Manager, Cellular and Paging</w:t>
            </w:r>
          </w:p>
          <w:p>
            <w:pPr>
              <w:pStyle w:val="BodyText"/>
              <w:rPr>
                <w:rFonts w:ascii="Verdana" w:hAnsi="Verdana" w:cs="Verdana"/>
                <w:i/>
                <w:i/>
                <w:iCs/>
                <w:sz w:val="18"/>
                <w:szCs w:val="20"/>
              </w:rPr>
            </w:pPr>
            <w:r>
              <w:rPr>
                <w:rFonts w:cs="Verdana" w:ascii="Verdana" w:hAnsi="Verdana"/>
                <w:i/>
                <w:iCs/>
                <w:sz w:val="18"/>
                <w:szCs w:val="20"/>
              </w:rPr>
            </w:r>
          </w:p>
          <w:p>
            <w:pPr>
              <w:pStyle w:val="BodyText"/>
              <w:rPr/>
            </w:pPr>
            <w:r>
              <w:rPr>
                <w:rFonts w:cs="Verdana" w:ascii="Verdana" w:hAnsi="Verdana"/>
                <w:sz w:val="18"/>
              </w:rPr>
              <w:t xml:space="preserve">Sprint </w:t>
            </w:r>
            <w:r>
              <w:rPr>
                <w:rFonts w:cs="Verdana" w:ascii="Verdana" w:hAnsi="Verdana"/>
                <w:i/>
                <w:iCs/>
                <w:sz w:val="18"/>
                <w:szCs w:val="20"/>
              </w:rPr>
              <w:t>(</w:t>
            </w:r>
            <w:hyperlink r:id="rId8">
              <w:r>
                <w:rPr>
                  <w:rStyle w:val="Hyperlink"/>
                  <w:rFonts w:cs="Verdana" w:ascii="Verdana" w:hAnsi="Verdana"/>
                  <w:i/>
                  <w:iCs/>
                  <w:sz w:val="18"/>
                  <w:szCs w:val="20"/>
                </w:rPr>
                <w:t>www.sprint.com</w:t>
              </w:r>
            </w:hyperlink>
            <w:r>
              <w:rPr>
                <w:rFonts w:cs="Verdana" w:ascii="Verdana" w:hAnsi="Verdana"/>
                <w:i/>
                <w:iCs/>
                <w:sz w:val="18"/>
                <w:szCs w:val="20"/>
              </w:rPr>
              <w:t xml:space="preserve">) </w:t>
            </w:r>
            <w:r>
              <w:rPr>
                <w:rFonts w:cs="Verdana" w:ascii="Verdana" w:hAnsi="Verdana"/>
                <w:sz w:val="18"/>
              </w:rPr>
              <w:t xml:space="preserve">is a $22.0 billion market cap (NYSE:FON) global telecommunications company. Responsibilities included managing a sales territory in Kansas City, Kansas. Completed Xerox Professional Selling Skills III training program. </w:t>
            </w:r>
          </w:p>
          <w:p>
            <w:pPr>
              <w:pStyle w:val="BodyText"/>
              <w:rPr>
                <w:rFonts w:ascii="Verdana" w:hAnsi="Verdana" w:cs="Verdana"/>
                <w:b/>
                <w:bCs/>
                <w:sz w:val="18"/>
                <w:szCs w:val="20"/>
              </w:rPr>
            </w:pPr>
            <w:r>
              <w:rPr>
                <w:rFonts w:cs="Verdana" w:ascii="Verdana" w:hAnsi="Verdana"/>
                <w:b/>
                <w:bCs/>
                <w:sz w:val="18"/>
                <w:szCs w:val="20"/>
              </w:rPr>
              <w:t>Accomplishments:</w:t>
            </w:r>
            <w:r>
              <w:rPr>
                <w:rFonts w:cs="Verdana" w:ascii="Verdana" w:hAnsi="Verdana"/>
                <w:sz w:val="18"/>
                <w:szCs w:val="20"/>
              </w:rPr>
              <w:t xml:space="preserve"> Was 4</w:t>
            </w:r>
            <w:r>
              <w:rPr>
                <w:rFonts w:cs="Verdana" w:ascii="Verdana" w:hAnsi="Verdana"/>
                <w:sz w:val="18"/>
                <w:szCs w:val="20"/>
                <w:vertAlign w:val="superscript"/>
              </w:rPr>
              <w:t>th</w:t>
            </w:r>
            <w:r>
              <w:rPr>
                <w:rFonts w:cs="Verdana" w:ascii="Verdana" w:hAnsi="Verdana"/>
                <w:sz w:val="18"/>
                <w:szCs w:val="20"/>
              </w:rPr>
              <w:t xml:space="preserve"> quarter 1985 regional sales leader, meeting sales quotas in both product lines.</w:t>
            </w:r>
          </w:p>
        </w:tc>
      </w:tr>
      <w:tr>
        <w:trPr/>
        <w:tc>
          <w:tcPr>
            <w:tcW w:w="154" w:type="dxa"/>
            <w:tcBorders/>
            <w:vAlign w:val="center"/>
          </w:tcPr>
          <w:p>
            <w:pPr>
              <w:pStyle w:val="BodyText"/>
              <w:snapToGrid w:val="false"/>
              <w:rPr>
                <w:rFonts w:ascii="Verdana" w:hAnsi="Verdana" w:cs="Verdana"/>
                <w:b/>
                <w:bCs/>
                <w:sz w:val="18"/>
                <w:szCs w:val="20"/>
              </w:rPr>
            </w:pPr>
            <w:r>
              <w:rPr>
                <w:rFonts w:cs="Verdana" w:ascii="Verdana" w:hAnsi="Verdana"/>
                <w:b/>
                <w:bCs/>
                <w:sz w:val="18"/>
                <w:szCs w:val="20"/>
              </w:rPr>
            </w:r>
          </w:p>
        </w:tc>
        <w:tc>
          <w:tcPr>
            <w:tcW w:w="224" w:type="dxa"/>
            <w:tcBorders/>
            <w:vAlign w:val="center"/>
          </w:tcPr>
          <w:p>
            <w:pPr>
              <w:pStyle w:val="BodyText"/>
              <w:snapToGrid w:val="false"/>
              <w:rPr>
                <w:rFonts w:ascii="Verdana" w:hAnsi="Verdana" w:cs="Verdana"/>
                <w:sz w:val="18"/>
              </w:rPr>
            </w:pPr>
            <w:r>
              <w:rPr>
                <w:rFonts w:cs="Verdana" w:ascii="Verdana" w:hAnsi="Verdana"/>
                <w:sz w:val="18"/>
              </w:rPr>
            </w:r>
          </w:p>
        </w:tc>
        <w:tc>
          <w:tcPr>
            <w:tcW w:w="8728" w:type="dxa"/>
            <w:tcBorders/>
            <w:vAlign w:val="center"/>
          </w:tcPr>
          <w:p>
            <w:pPr>
              <w:pStyle w:val="BodyText"/>
              <w:snapToGrid w:val="false"/>
              <w:rPr>
                <w:rFonts w:ascii="Verdana" w:hAnsi="Verdana" w:cs="Verdana"/>
                <w:b/>
                <w:bCs/>
                <w:sz w:val="18"/>
                <w:szCs w:val="20"/>
              </w:rPr>
            </w:pPr>
            <w:r>
              <w:rPr>
                <w:rFonts w:cs="Verdana" w:ascii="Verdana" w:hAnsi="Verdana"/>
                <w:b/>
                <w:bCs/>
                <w:sz w:val="18"/>
                <w:szCs w:val="20"/>
              </w:rPr>
            </w:r>
          </w:p>
        </w:tc>
      </w:tr>
      <w:tr>
        <w:trPr/>
        <w:tc>
          <w:tcPr>
            <w:tcW w:w="154" w:type="dxa"/>
            <w:tcBorders/>
            <w:vAlign w:val="center"/>
          </w:tcPr>
          <w:p>
            <w:pPr>
              <w:pStyle w:val="BodyText"/>
              <w:rPr>
                <w:rFonts w:ascii="Verdana" w:hAnsi="Verdana" w:eastAsia="Arial Unicode MS" w:cs="Verdana"/>
                <w:sz w:val="18"/>
              </w:rPr>
            </w:pPr>
            <w:r>
              <w:rPr>
                <w:rFonts w:cs="Verdana" w:ascii="Verdana" w:hAnsi="Verdana"/>
                <w:sz w:val="18"/>
              </w:rPr>
              <w:t> </w:t>
            </w:r>
          </w:p>
        </w:tc>
        <w:tc>
          <w:tcPr>
            <w:tcW w:w="224" w:type="dxa"/>
            <w:tcBorders/>
            <w:vAlign w:val="center"/>
          </w:tcPr>
          <w:p>
            <w:pPr>
              <w:pStyle w:val="BodyText"/>
              <w:rPr>
                <w:rFonts w:ascii="Verdana" w:hAnsi="Verdana" w:eastAsia="Arial Unicode MS" w:cs="Verdana"/>
                <w:sz w:val="18"/>
              </w:rPr>
            </w:pPr>
            <w:r>
              <w:rPr>
                <w:rFonts w:cs="Verdana" w:ascii="Verdana" w:hAnsi="Verdana"/>
                <w:sz w:val="18"/>
              </w:rPr>
              <w:t> </w:t>
            </w:r>
          </w:p>
        </w:tc>
        <w:tc>
          <w:tcPr>
            <w:tcW w:w="8728" w:type="dxa"/>
            <w:tcBorders/>
            <w:vAlign w:val="center"/>
          </w:tcPr>
          <w:p>
            <w:pPr>
              <w:pStyle w:val="BodyText"/>
              <w:jc w:val="start"/>
              <w:rPr/>
            </w:pPr>
            <w:r>
              <w:rPr>
                <w:rFonts w:cs="Verdana" w:ascii="Verdana" w:hAnsi="Verdana"/>
                <w:b/>
                <w:bCs/>
                <w:sz w:val="18"/>
                <w:szCs w:val="20"/>
                <w:u w:val="single"/>
              </w:rPr>
              <w:t>Larsen Properties, Ltd.</w:t>
            </w:r>
            <w:r>
              <w:rPr>
                <w:rFonts w:cs="Verdana" w:ascii="Verdana" w:hAnsi="Verdana"/>
                <w:sz w:val="18"/>
                <w:szCs w:val="20"/>
                <w:u w:val="single"/>
              </w:rPr>
              <w:t xml:space="preserve">   (06/1980 - 12/1982), Gladbrook, IA</w:t>
              <w:br/>
            </w:r>
            <w:r>
              <w:rPr>
                <w:rFonts w:cs="Verdana" w:ascii="Verdana" w:hAnsi="Verdana"/>
                <w:i/>
                <w:iCs/>
                <w:sz w:val="18"/>
                <w:szCs w:val="20"/>
              </w:rPr>
              <w:t>Manager</w:t>
            </w:r>
          </w:p>
          <w:p>
            <w:pPr>
              <w:pStyle w:val="BodyText"/>
              <w:jc w:val="start"/>
              <w:rPr>
                <w:rFonts w:ascii="Verdana" w:hAnsi="Verdana" w:cs="Verdana"/>
                <w:i/>
                <w:i/>
                <w:iCs/>
                <w:sz w:val="18"/>
                <w:szCs w:val="20"/>
              </w:rPr>
            </w:pPr>
            <w:r>
              <w:rPr>
                <w:rFonts w:cs="Verdana" w:ascii="Verdana" w:hAnsi="Verdana"/>
                <w:i/>
                <w:iCs/>
                <w:sz w:val="18"/>
                <w:szCs w:val="20"/>
              </w:rPr>
            </w:r>
          </w:p>
          <w:p>
            <w:pPr>
              <w:pStyle w:val="BodyText"/>
              <w:rPr>
                <w:rFonts w:ascii="Verdana" w:hAnsi="Verdana" w:cs="Verdana"/>
                <w:sz w:val="18"/>
                <w:szCs w:val="20"/>
              </w:rPr>
            </w:pPr>
            <w:r>
              <w:rPr>
                <w:rFonts w:cs="Verdana" w:ascii="Verdana" w:hAnsi="Verdana"/>
                <w:sz w:val="18"/>
                <w:szCs w:val="20"/>
              </w:rPr>
              <w:t xml:space="preserve">Larsen Properties is a 1,250-acre family grain farming business located in central Iowa. Responsibilities included purchasing seed, chemicals and fuel, managing planting and harvest operations and selling production in both physical and financial markets. </w:t>
            </w:r>
          </w:p>
          <w:p>
            <w:pPr>
              <w:pStyle w:val="BodyText"/>
              <w:rPr/>
            </w:pPr>
            <w:r>
              <w:rPr>
                <w:rFonts w:cs="Verdana" w:ascii="Verdana" w:hAnsi="Verdana"/>
                <w:b/>
                <w:bCs/>
                <w:sz w:val="18"/>
                <w:szCs w:val="20"/>
              </w:rPr>
              <w:t>Accomplishments:</w:t>
            </w:r>
            <w:r>
              <w:rPr>
                <w:rFonts w:cs="Verdana" w:ascii="Verdana" w:hAnsi="Verdana"/>
                <w:sz w:val="18"/>
                <w:szCs w:val="20"/>
              </w:rPr>
              <w:t xml:space="preserve"> Managed all aspects of the farm business. Built grain storage and handling facilities that served as a base for future expansion.</w:t>
            </w:r>
          </w:p>
        </w:tc>
      </w:tr>
      <w:tr>
        <w:trPr/>
        <w:tc>
          <w:tcPr>
            <w:tcW w:w="154" w:type="dxa"/>
            <w:tcBorders/>
            <w:vAlign w:val="center"/>
          </w:tcPr>
          <w:p>
            <w:pPr>
              <w:pStyle w:val="Normal"/>
              <w:rPr>
                <w:rFonts w:ascii="Arial Unicode MS" w:hAnsi="Arial Unicode MS" w:eastAsia="Arial Unicode MS" w:cs="Arial Unicode MS"/>
                <w:sz w:val="18"/>
              </w:rPr>
            </w:pPr>
            <w:r>
              <w:rPr>
                <w:sz w:val="18"/>
              </w:rPr>
              <w:t> </w:t>
            </w:r>
          </w:p>
        </w:tc>
        <w:tc>
          <w:tcPr>
            <w:tcW w:w="8952" w:type="dxa"/>
            <w:gridSpan w:val="2"/>
            <w:tcBorders/>
            <w:vAlign w:val="center"/>
          </w:tcPr>
          <w:p>
            <w:pPr>
              <w:pStyle w:val="Normal"/>
              <w:rPr>
                <w:rFonts w:ascii="Arial Unicode MS" w:hAnsi="Arial Unicode MS" w:eastAsia="Arial Unicode MS" w:cs="Arial Unicode MS"/>
                <w:sz w:val="18"/>
              </w:rPr>
            </w:pPr>
            <w:r>
              <w:rPr>
                <w:sz w:val="18"/>
              </w:rPr>
              <w:t> </w:t>
            </w:r>
          </w:p>
        </w:tc>
      </w:tr>
      <w:tr>
        <w:trPr/>
        <w:tc>
          <w:tcPr>
            <w:tcW w:w="154" w:type="dxa"/>
            <w:tcBorders/>
            <w:vAlign w:val="center"/>
          </w:tcPr>
          <w:p>
            <w:pPr>
              <w:pStyle w:val="Normal"/>
              <w:rPr>
                <w:rFonts w:ascii="Arial Unicode MS" w:hAnsi="Arial Unicode MS" w:eastAsia="Arial Unicode MS" w:cs="Arial Unicode MS"/>
                <w:sz w:val="18"/>
              </w:rPr>
            </w:pPr>
            <w:r>
              <w:rPr>
                <w:sz w:val="18"/>
              </w:rPr>
              <w:t> </w:t>
            </w:r>
          </w:p>
        </w:tc>
        <w:tc>
          <w:tcPr>
            <w:tcW w:w="8952" w:type="dxa"/>
            <w:gridSpan w:val="2"/>
            <w:tcBorders/>
            <w:vAlign w:val="center"/>
          </w:tcPr>
          <w:p>
            <w:pPr>
              <w:pStyle w:val="Normal"/>
              <w:rPr>
                <w:rFonts w:ascii="Arial Unicode MS" w:hAnsi="Arial Unicode MS" w:eastAsia="Arial Unicode MS" w:cs="Arial Unicode MS"/>
                <w:sz w:val="18"/>
              </w:rPr>
            </w:pPr>
            <w:r>
              <w:rPr>
                <w:rFonts w:cs="Verdana" w:ascii="Verdana" w:hAnsi="Verdana"/>
                <w:b/>
                <w:bCs/>
                <w:color w:val="0000FF"/>
                <w:sz w:val="18"/>
              </w:rPr>
              <w:t>Education</w:t>
            </w:r>
            <w:r>
              <w:rPr>
                <w:sz w:val="18"/>
              </w:rPr>
              <w:t xml:space="preserve"> </w:t>
            </w:r>
          </w:p>
        </w:tc>
      </w:tr>
      <w:tr>
        <w:trPr/>
        <w:tc>
          <w:tcPr>
            <w:tcW w:w="154" w:type="dxa"/>
            <w:tcBorders/>
            <w:vAlign w:val="center"/>
          </w:tcPr>
          <w:p>
            <w:pPr>
              <w:pStyle w:val="Normal"/>
              <w:rPr>
                <w:rFonts w:ascii="Arial Unicode MS" w:hAnsi="Arial Unicode MS" w:eastAsia="Arial Unicode MS" w:cs="Arial Unicode MS"/>
                <w:sz w:val="18"/>
              </w:rPr>
            </w:pPr>
            <w:r>
              <w:rPr>
                <w:sz w:val="18"/>
              </w:rPr>
              <w:t> </w:t>
            </w:r>
          </w:p>
        </w:tc>
        <w:tc>
          <w:tcPr>
            <w:tcW w:w="224" w:type="dxa"/>
            <w:tcBorders/>
            <w:vAlign w:val="center"/>
          </w:tcPr>
          <w:p>
            <w:pPr>
              <w:pStyle w:val="Normal"/>
              <w:rPr>
                <w:rFonts w:ascii="Arial Unicode MS" w:hAnsi="Arial Unicode MS" w:eastAsia="Arial Unicode MS" w:cs="Arial Unicode MS"/>
                <w:sz w:val="18"/>
              </w:rPr>
            </w:pPr>
            <w:r>
              <w:rPr>
                <w:sz w:val="18"/>
              </w:rPr>
              <w:t> </w:t>
            </w:r>
          </w:p>
        </w:tc>
        <w:tc>
          <w:tcPr>
            <w:tcW w:w="8728" w:type="dxa"/>
            <w:tcBorders/>
            <w:vAlign w:val="center"/>
          </w:tcPr>
          <w:p>
            <w:pPr>
              <w:pStyle w:val="Normal"/>
              <w:rPr/>
            </w:pPr>
            <w:r>
              <w:rPr>
                <w:rFonts w:cs="Verdana" w:ascii="Verdana" w:hAnsi="Verdana"/>
                <w:b/>
                <w:bCs/>
                <w:sz w:val="18"/>
                <w:szCs w:val="20"/>
                <w:u w:val="single"/>
              </w:rPr>
              <w:t>University of Kansas - Lawrence, KS</w:t>
            </w:r>
            <w:r>
              <w:rPr>
                <w:rFonts w:cs="Verdana" w:ascii="Verdana" w:hAnsi="Verdana"/>
                <w:sz w:val="18"/>
                <w:szCs w:val="20"/>
                <w:u w:val="single"/>
              </w:rPr>
              <w:t xml:space="preserve"> (01/1983 – 05/1985)</w:t>
              <w:br/>
            </w:r>
            <w:r>
              <w:rPr>
                <w:rFonts w:cs="Verdana" w:ascii="Verdana" w:hAnsi="Verdana"/>
                <w:sz w:val="18"/>
                <w:szCs w:val="20"/>
              </w:rPr>
              <w:t>Master of Business Administration</w:t>
            </w:r>
          </w:p>
          <w:p>
            <w:pPr>
              <w:pStyle w:val="Normal"/>
              <w:rPr>
                <w:rFonts w:ascii="Verdana" w:hAnsi="Verdana" w:cs="Verdana"/>
                <w:sz w:val="18"/>
                <w:szCs w:val="20"/>
                <w:u w:val="single"/>
              </w:rPr>
            </w:pPr>
            <w:r>
              <w:rPr>
                <w:rFonts w:cs="Verdana" w:ascii="Verdana" w:hAnsi="Verdana"/>
                <w:sz w:val="18"/>
                <w:szCs w:val="20"/>
                <w:u w:val="single"/>
              </w:rPr>
            </w:r>
          </w:p>
          <w:p>
            <w:pPr>
              <w:pStyle w:val="Normal"/>
              <w:rPr/>
            </w:pPr>
            <w:r>
              <w:rPr>
                <w:rFonts w:cs="Verdana" w:ascii="Verdana" w:hAnsi="Verdana"/>
                <w:b/>
                <w:bCs/>
                <w:sz w:val="18"/>
                <w:szCs w:val="20"/>
                <w:u w:val="single"/>
              </w:rPr>
              <w:t xml:space="preserve">Iowa State University – Ames, IA </w:t>
            </w:r>
            <w:r>
              <w:rPr>
                <w:rFonts w:cs="Verdana" w:ascii="Verdana" w:hAnsi="Verdana"/>
                <w:sz w:val="18"/>
                <w:szCs w:val="20"/>
                <w:u w:val="single"/>
              </w:rPr>
              <w:t>(09/1976 – 05/1980)</w:t>
            </w:r>
          </w:p>
          <w:p>
            <w:pPr>
              <w:pStyle w:val="Normal"/>
              <w:rPr>
                <w:sz w:val="18"/>
              </w:rPr>
            </w:pPr>
            <w:r>
              <w:rPr>
                <w:rFonts w:cs="Verdana" w:ascii="Verdana" w:hAnsi="Verdana"/>
                <w:sz w:val="18"/>
              </w:rPr>
              <w:t>Bachelor of Science, Agriculture</w:t>
            </w:r>
            <w:r>
              <w:rPr>
                <w:rFonts w:cs="Verdana" w:ascii="Verdana" w:hAnsi="Verdana"/>
                <w:b/>
                <w:bCs/>
                <w:sz w:val="18"/>
                <w:u w:val="single"/>
              </w:rPr>
              <w:t xml:space="preserve"> </w:t>
            </w:r>
          </w:p>
        </w:tc>
      </w:tr>
    </w:tbl>
    <w:p>
      <w:pPr>
        <w:pStyle w:val="Normal"/>
        <w:rPr>
          <w:sz w:val="18"/>
        </w:rPr>
      </w:pPr>
      <w:r>
        <w:rPr>
          <w:sz w:val="18"/>
        </w:rPr>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Verdana" w:hAnsi="Verdana" w:cs="Verdana"/>
      <w:i/>
      <w:iCs/>
      <w:sz w:val="18"/>
      <w:szCs w:val="20"/>
    </w:rPr>
  </w:style>
  <w:style w:type="paragraph" w:styleId="BodyText3">
    <w:name w:val="Body Text 3"/>
    <w:basedOn w:val="Normal"/>
    <w:qFormat/>
    <w:pPr>
      <w:jc w:val="both"/>
    </w:pPr>
    <w:rPr>
      <w:rFonts w:ascii="Verdana" w:hAnsi="Verdana" w:cs="Verdana"/>
      <w:sz w:val="18"/>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edmeteor.com/" TargetMode="External"/><Relationship Id="rId3" Type="http://schemas.openxmlformats.org/officeDocument/2006/relationships/hyperlink" Target="http://www.coastenergy.com/" TargetMode="External"/><Relationship Id="rId4" Type="http://schemas.openxmlformats.org/officeDocument/2006/relationships/hyperlink" Target="http://www.coastalcorp.com/" TargetMode="External"/><Relationship Id="rId5" Type="http://schemas.openxmlformats.org/officeDocument/2006/relationships/hyperlink" Target="http://www.gie.com/" TargetMode="External"/><Relationship Id="rId6" Type="http://schemas.openxmlformats.org/officeDocument/2006/relationships/hyperlink" Target="http://www.cpcpipeline.com/" TargetMode="External"/><Relationship Id="rId7" Type="http://schemas.openxmlformats.org/officeDocument/2006/relationships/hyperlink" Target="http://www.conoco.com/" TargetMode="External"/><Relationship Id="rId8" Type="http://schemas.openxmlformats.org/officeDocument/2006/relationships/hyperlink" Target="http://www.sprint.com/"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2001-02-16T15:15:00Z</dcterms:created>
  <dc:creator>Valued Sony Customer</dc:creator>
  <dc:description/>
  <dc:language>en-CA</dc:language>
  <cp:lastModifiedBy>Valued Sony Customer</cp:lastModifiedBy>
  <cp:lastPrinted>2001-01-24T10:44:00Z</cp:lastPrinted>
  <dcterms:modified xsi:type="dcterms:W3CDTF">2001-02-16T15:32:00Z</dcterms:modified>
  <cp:revision>22</cp:revision>
  <dc:subject/>
  <dc:title>Brent R</dc:title>
</cp:coreProperties>
</file>