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cs="Times New Roman"/>
          <w:b/>
          <w:sz w:val="24"/>
        </w:rPr>
      </w:pPr>
      <w:r>
        <w:rPr>
          <w:rFonts w:cs="Times New Roman" w:ascii="Times New Roman" w:hAnsi="Times New Roman"/>
          <w:b/>
          <w:sz w:val="24"/>
        </w:rPr>
      </w:r>
    </w:p>
    <w:p>
      <w:pPr>
        <w:pStyle w:val="Normal"/>
        <w:suppressAutoHyphens w:val="true"/>
        <w:ind w:start="7920" w:end="0"/>
        <w:jc w:val="end"/>
        <w:rPr>
          <w:rFonts w:ascii="Times New Roman" w:hAnsi="Times New Roman" w:cs="Times New Roman"/>
          <w:b/>
          <w:sz w:val="24"/>
        </w:rPr>
      </w:pPr>
      <w:r>
        <w:rPr>
          <w:rFonts w:cs="Times New Roman" w:ascii="Times New Roman" w:hAnsi="Times New Roman"/>
          <w:b/>
          <w:sz w:val="24"/>
        </w:rPr>
      </w:r>
    </w:p>
    <w:p>
      <w:pPr>
        <w:pStyle w:val="Normal"/>
        <w:suppressAutoHyphens w:val="true"/>
        <w:rPr>
          <w:rFonts w:ascii="Times New Roman" w:hAnsi="Times New Roman" w:cs="Times New Roman"/>
          <w:b/>
          <w:bCs/>
          <w:sz w:val="28"/>
        </w:rPr>
      </w:pPr>
      <w:r>
        <w:rPr>
          <w:rFonts w:cs="Times New Roman" w:ascii="Times New Roman" w:hAnsi="Times New Roman"/>
          <w:b/>
          <w:bCs/>
          <w:sz w:val="28"/>
        </w:rPr>
        <w:t>Li Doyle</w:t>
      </w:r>
    </w:p>
    <w:p>
      <w:pPr>
        <w:pStyle w:val="Normal"/>
        <w:suppressAutoHyphens w:val="true"/>
        <w:ind w:hanging="7920" w:start="7920" w:end="0"/>
        <w:rPr>
          <w:rFonts w:ascii="Times New Roman" w:hAnsi="Times New Roman" w:cs="Times New Roman"/>
        </w:rPr>
      </w:pPr>
      <w:r>
        <w:rPr>
          <w:rFonts w:cs="Times New Roman" w:ascii="Times New Roman" w:hAnsi="Times New Roman"/>
        </w:rPr>
        <w:t>3407 Sagecircle East</w:t>
      </w:r>
    </w:p>
    <w:p>
      <w:pPr>
        <w:pStyle w:val="Normal"/>
        <w:suppressAutoHyphens w:val="true"/>
        <w:ind w:hanging="7920" w:start="7920" w:end="0"/>
        <w:rPr>
          <w:rFonts w:ascii="Times New Roman" w:hAnsi="Times New Roman" w:cs="Times New Roman"/>
        </w:rPr>
      </w:pPr>
      <w:r>
        <w:rPr>
          <w:rFonts w:cs="Times New Roman" w:ascii="Times New Roman" w:hAnsi="Times New Roman"/>
        </w:rPr>
        <w:t>Houston, Texas 77056</w:t>
      </w:r>
    </w:p>
    <w:p>
      <w:pPr>
        <w:pStyle w:val="Normal"/>
        <w:suppressAutoHyphens w:val="true"/>
        <w:ind w:hanging="7920" w:start="7920" w:end="0"/>
        <w:rPr>
          <w:rFonts w:ascii="Times New Roman" w:hAnsi="Times New Roman" w:cs="Times New Roman"/>
        </w:rPr>
      </w:pPr>
      <w:r>
        <w:rPr>
          <w:rFonts w:cs="Times New Roman" w:ascii="Times New Roman" w:hAnsi="Times New Roman"/>
        </w:rPr>
        <w:t>(713) 860-1573</w:t>
      </w:r>
    </w:p>
    <w:p>
      <w:pPr>
        <w:pStyle w:val="Normal"/>
        <w:suppressAutoHyphens w:val="true"/>
        <w:ind w:hanging="7920" w:start="7920" w:end="0"/>
        <w:rPr>
          <w:rFonts w:ascii="Times New Roman" w:hAnsi="Times New Roman" w:cs="Times New Roman"/>
        </w:rPr>
      </w:pPr>
      <w:hyperlink r:id="rId2">
        <w:r>
          <w:rPr>
            <w:rStyle w:val="Hyperlink"/>
            <w:rFonts w:cs="Times New Roman" w:ascii="Times New Roman" w:hAnsi="Times New Roman"/>
          </w:rPr>
          <w:t>lidoyle@pdq.net</w:t>
        </w:r>
      </w:hyperlink>
    </w:p>
    <w:p>
      <w:pPr>
        <w:pStyle w:val="Normal"/>
        <w:suppressAutoHyphens w:val="true"/>
        <w:ind w:hanging="7920" w:start="7920" w:end="0"/>
        <w:rPr>
          <w:rFonts w:ascii="Times New Roman" w:hAnsi="Times New Roman" w:cs="Times New Roman"/>
        </w:rPr>
      </w:pPr>
      <w:r>
        <w:rPr>
          <w:rFonts w:cs="Times New Roman" w:ascii="Times New Roman" w:hAnsi="Times New Roman"/>
        </w:rPr>
      </w:r>
    </w:p>
    <w:p>
      <w:pPr>
        <w:pStyle w:val="Header"/>
        <w:tabs>
          <w:tab w:val="clear" w:pos="4320"/>
          <w:tab w:val="clear" w:pos="8640"/>
        </w:tabs>
        <w:suppressAutoHyphens w:val="true"/>
        <w:rPr>
          <w:b/>
        </w:rPr>
      </w:pPr>
      <w:r>
        <w:rPr/>
        <w:tab/>
        <w:tab/>
        <w:tab/>
        <w:tab/>
        <w:tab/>
        <w:tab/>
      </w:r>
    </w:p>
    <w:p>
      <w:pPr>
        <w:pStyle w:val="Normal"/>
        <w:suppressAutoHyphens w:val="true"/>
        <w:rPr>
          <w:rFonts w:ascii="Times New Roman" w:hAnsi="Times New Roman" w:cs="Times New Roman"/>
          <w:b/>
          <w:sz w:val="22"/>
          <w:u w:val="single"/>
        </w:rPr>
      </w:pPr>
      <w:r>
        <w:rPr>
          <w:rFonts w:cs="Times New Roman" w:ascii="Times New Roman" w:hAnsi="Times New Roman"/>
          <w:b/>
          <w:sz w:val="22"/>
          <w:u w:val="single"/>
        </w:rPr>
        <w:t>Experience</w:t>
      </w:r>
    </w:p>
    <w:p>
      <w:pPr>
        <w:pStyle w:val="Normal"/>
        <w:suppressAutoHyphens w:val="true"/>
        <w:rPr>
          <w:rFonts w:ascii="Times New Roman" w:hAnsi="Times New Roman" w:cs="Times New Roman"/>
          <w:b/>
          <w:sz w:val="22"/>
          <w:u w:val="single"/>
        </w:rPr>
      </w:pPr>
      <w:r>
        <w:rPr>
          <w:rFonts w:cs="Times New Roman" w:ascii="Times New Roman" w:hAnsi="Times New Roman"/>
          <w:b/>
          <w:sz w:val="22"/>
          <w:u w:val="single"/>
        </w:rPr>
      </w:r>
    </w:p>
    <w:p>
      <w:pPr>
        <w:pStyle w:val="Heading9"/>
        <w:ind w:hanging="0" w:start="0"/>
        <w:rPr>
          <w:sz w:val="20"/>
        </w:rPr>
      </w:pPr>
      <w:r>
        <w:rPr>
          <w:sz w:val="20"/>
        </w:rPr>
        <w:t>VICE-PRESIDENT, eCommerce</w:t>
      </w:r>
    </w:p>
    <w:p>
      <w:pPr>
        <w:pStyle w:val="Normal"/>
        <w:suppressAutoHyphens w:val="true"/>
        <w:rPr>
          <w:rFonts w:ascii="Times New Roman" w:hAnsi="Times New Roman" w:cs="Times New Roman"/>
          <w:bCs/>
        </w:rPr>
      </w:pPr>
      <w:r>
        <w:rPr>
          <w:rFonts w:cs="Times New Roman" w:ascii="Times New Roman" w:hAnsi="Times New Roman"/>
          <w:bCs/>
        </w:rPr>
        <w:t>Integrated Electrical Services (7/00 - Present)</w:t>
      </w:r>
    </w:p>
    <w:p>
      <w:pPr>
        <w:pStyle w:val="Normal"/>
        <w:suppressAutoHyphens w:val="true"/>
        <w:rPr>
          <w:rFonts w:ascii="Times New Roman" w:hAnsi="Times New Roman" w:cs="Times New Roman"/>
          <w:bCs/>
        </w:rPr>
      </w:pPr>
      <w:r>
        <w:rPr>
          <w:rFonts w:cs="Times New Roman" w:ascii="Times New Roman" w:hAnsi="Times New Roman"/>
          <w:bCs/>
        </w:rPr>
      </w:r>
    </w:p>
    <w:p>
      <w:pPr>
        <w:pStyle w:val="BodyText"/>
        <w:rPr>
          <w:sz w:val="20"/>
        </w:rPr>
      </w:pPr>
      <w:r>
        <w:rPr>
          <w:sz w:val="20"/>
        </w:rPr>
        <w:t xml:space="preserve">Develop an eCommerce strategy for direct and indirect purchases totaling $700M per year.  Provide leadership in the assessment of Portal and eProcurement platforms and process improvements in procurement, project management and collaboration, leasing of equipment and vehicles, bonding and insurance, etc.  Develop alliances and business structure with technology partners.  Negotiate all contract terms and conditions.  </w:t>
      </w:r>
    </w:p>
    <w:p>
      <w:pPr>
        <w:pStyle w:val="BodyText"/>
        <w:rPr>
          <w:sz w:val="20"/>
        </w:rPr>
      </w:pPr>
      <w:r>
        <w:rPr>
          <w:sz w:val="20"/>
        </w:rPr>
      </w:r>
    </w:p>
    <w:p>
      <w:pPr>
        <w:pStyle w:val="BodyText"/>
        <w:rPr>
          <w:sz w:val="20"/>
        </w:rPr>
      </w:pPr>
      <w:r>
        <w:rPr>
          <w:sz w:val="20"/>
        </w:rPr>
        <w:t>Defined project scope by mapping workflow processes, identified best practices, and built single access point to move all transactions on-line.  Identified user profile, content, and application. Managed eCommerce team to create gap analysis and define domains and functionality of enterprise portal.  Managed portal vendor, consultants, IT team, application vendors, design team and purchasing department.</w:t>
      </w:r>
    </w:p>
    <w:p>
      <w:pPr>
        <w:pStyle w:val="BodyText"/>
        <w:rPr>
          <w:sz w:val="20"/>
        </w:rPr>
      </w:pPr>
      <w:r>
        <w:rPr>
          <w:sz w:val="20"/>
        </w:rPr>
      </w:r>
    </w:p>
    <w:p>
      <w:pPr>
        <w:pStyle w:val="BodyText"/>
        <w:rPr>
          <w:sz w:val="20"/>
        </w:rPr>
      </w:pPr>
      <w:r>
        <w:rPr>
          <w:sz w:val="20"/>
        </w:rPr>
        <w:t>Successfully implemented 30-day beta test of B2B exchange among 9 IES companies and 5 major suppliers</w:t>
      </w:r>
    </w:p>
    <w:p>
      <w:pPr>
        <w:pStyle w:val="BodyText"/>
        <w:rPr>
          <w:sz w:val="20"/>
        </w:rPr>
      </w:pPr>
      <w:r>
        <w:rPr>
          <w:sz w:val="20"/>
        </w:rPr>
      </w:r>
    </w:p>
    <w:p>
      <w:pPr>
        <w:pStyle w:val="BodyText"/>
        <w:rPr>
          <w:sz w:val="20"/>
        </w:rPr>
      </w:pPr>
      <w:r>
        <w:rPr>
          <w:sz w:val="20"/>
        </w:rPr>
        <w:t xml:space="preserve">Analyzed vendors and technology partners.  Determined ROI in building an enterprise portal and presented value proposition to IES Board of Directors </w:t>
      </w:r>
    </w:p>
    <w:p>
      <w:pPr>
        <w:pStyle w:val="BodyText"/>
        <w:rPr>
          <w:sz w:val="20"/>
        </w:rPr>
      </w:pPr>
      <w:r>
        <w:rPr>
          <w:sz w:val="20"/>
        </w:rPr>
      </w:r>
    </w:p>
    <w:p>
      <w:pPr>
        <w:pStyle w:val="BodyText"/>
        <w:rPr>
          <w:b/>
          <w:bCs w:val="false"/>
          <w:sz w:val="20"/>
        </w:rPr>
      </w:pPr>
      <w:r>
        <w:rPr>
          <w:b/>
          <w:bCs w:val="false"/>
          <w:sz w:val="20"/>
        </w:rPr>
      </w:r>
    </w:p>
    <w:p>
      <w:pPr>
        <w:pStyle w:val="BodyText"/>
        <w:rPr>
          <w:b/>
          <w:bCs w:val="false"/>
          <w:sz w:val="20"/>
        </w:rPr>
      </w:pPr>
      <w:r>
        <w:rPr>
          <w:b/>
          <w:bCs w:val="false"/>
          <w:sz w:val="20"/>
        </w:rPr>
        <w:t>INDEPENDENT CONSULTANT</w:t>
      </w:r>
    </w:p>
    <w:p>
      <w:pPr>
        <w:pStyle w:val="Normal"/>
        <w:suppressAutoHyphens w:val="true"/>
        <w:rPr>
          <w:rFonts w:ascii="Times New Roman" w:hAnsi="Times New Roman" w:cs="Times New Roman"/>
          <w:bCs/>
        </w:rPr>
      </w:pPr>
      <w:r>
        <w:rPr>
          <w:rFonts w:cs="Times New Roman" w:ascii="Times New Roman" w:hAnsi="Times New Roman"/>
          <w:bCs/>
        </w:rPr>
        <w:t>(3/00-6/00)</w:t>
      </w:r>
    </w:p>
    <w:p>
      <w:pPr>
        <w:pStyle w:val="Normal"/>
        <w:suppressAutoHyphens w:val="true"/>
        <w:rPr>
          <w:rFonts w:ascii="Times New Roman" w:hAnsi="Times New Roman" w:cs="Times New Roman"/>
          <w:bCs/>
        </w:rPr>
      </w:pPr>
      <w:r>
        <w:rPr>
          <w:rFonts w:cs="Times New Roman" w:ascii="Times New Roman" w:hAnsi="Times New Roman"/>
          <w:bCs/>
        </w:rPr>
      </w:r>
    </w:p>
    <w:p>
      <w:pPr>
        <w:pStyle w:val="Normal"/>
        <w:suppressAutoHyphens w:val="true"/>
        <w:rPr>
          <w:rFonts w:ascii="Times New Roman" w:hAnsi="Times New Roman" w:cs="Times New Roman"/>
          <w:bCs/>
        </w:rPr>
      </w:pPr>
      <w:r>
        <w:rPr>
          <w:rFonts w:cs="Times New Roman" w:ascii="Times New Roman" w:hAnsi="Times New Roman"/>
          <w:bCs/>
        </w:rPr>
        <w:t>Identified IES’ purchasing strategy and mapped current purchasing process.  Quantified cost of processing a purchase order.  Presented to Senior Management the benefits of on-line purchasing by utilizing an Application Service Provider.  Identified 9 IES companies to begin beta test of technology.</w:t>
      </w:r>
    </w:p>
    <w:p>
      <w:pPr>
        <w:pStyle w:val="Normal"/>
        <w:suppressAutoHyphens w:val="true"/>
        <w:rPr>
          <w:rFonts w:ascii="Times New Roman" w:hAnsi="Times New Roman" w:cs="Times New Roman"/>
          <w:bCs/>
        </w:rPr>
      </w:pPr>
      <w:r>
        <w:rPr>
          <w:rFonts w:cs="Times New Roman" w:ascii="Times New Roman" w:hAnsi="Times New Roman"/>
          <w:bCs/>
        </w:rPr>
      </w:r>
    </w:p>
    <w:p>
      <w:pPr>
        <w:pStyle w:val="Normal"/>
        <w:suppressAutoHyphens w:val="true"/>
        <w:rPr>
          <w:rFonts w:ascii="Times New Roman" w:hAnsi="Times New Roman" w:cs="Times New Roman"/>
          <w:bCs/>
        </w:rPr>
      </w:pPr>
      <w:r>
        <w:rPr>
          <w:rFonts w:cs="Times New Roman" w:ascii="Times New Roman" w:hAnsi="Times New Roman"/>
          <w:bCs/>
        </w:rPr>
        <w:t>Evaluated over 25 technology companies.  Based on interviews of 5 technology companies using the criteria of people, process, technology and financial strength, 2 companies were recommended as ideal technology partner for IES.</w:t>
      </w:r>
    </w:p>
    <w:p>
      <w:pPr>
        <w:pStyle w:val="Heading9"/>
        <w:ind w:hanging="0" w:start="0"/>
        <w:rPr>
          <w:bCs/>
        </w:rPr>
      </w:pPr>
      <w:r>
        <w:rPr>
          <w:bCs/>
        </w:rPr>
        <w:t xml:space="preserve">  </w:t>
      </w:r>
    </w:p>
    <w:p>
      <w:pPr>
        <w:pStyle w:val="Heading9"/>
        <w:ind w:hanging="0" w:start="0"/>
        <w:rPr>
          <w:bCs/>
          <w:sz w:val="20"/>
        </w:rPr>
      </w:pPr>
      <w:r>
        <w:rPr>
          <w:bCs/>
          <w:sz w:val="20"/>
        </w:rPr>
      </w:r>
    </w:p>
    <w:p>
      <w:pPr>
        <w:pStyle w:val="Heading9"/>
        <w:ind w:hanging="0" w:start="0"/>
        <w:rPr>
          <w:sz w:val="20"/>
        </w:rPr>
      </w:pPr>
      <w:r>
        <w:rPr>
          <w:sz w:val="20"/>
        </w:rPr>
        <w:t>DIRECTOR</w:t>
      </w:r>
    </w:p>
    <w:p>
      <w:pPr>
        <w:pStyle w:val="Heading1"/>
        <w:ind w:hanging="0" w:start="0"/>
        <w:jc w:val="both"/>
        <w:rPr>
          <w:b w:val="false"/>
          <w:sz w:val="20"/>
        </w:rPr>
      </w:pPr>
      <w:r>
        <w:rPr>
          <w:b w:val="false"/>
          <w:sz w:val="20"/>
        </w:rPr>
        <w:t>New Power Company (1999-2000)</w:t>
      </w:r>
    </w:p>
    <w:p>
      <w:pPr>
        <w:pStyle w:val="Heading1"/>
        <w:ind w:hanging="0" w:start="0"/>
        <w:jc w:val="both"/>
        <w:rPr>
          <w:b w:val="false"/>
          <w:sz w:val="20"/>
        </w:rPr>
      </w:pPr>
      <w:r>
        <w:rPr>
          <w:b w:val="false"/>
          <w:sz w:val="20"/>
        </w:rPr>
        <w:t>Enron Corp.</w:t>
      </w:r>
    </w:p>
    <w:p>
      <w:pPr>
        <w:pStyle w:val="Normal"/>
        <w:rPr>
          <w:rFonts w:ascii="Times New Roman" w:hAnsi="Times New Roman" w:cs="Times New Roman"/>
          <w:b/>
          <w:sz w:val="20"/>
        </w:rPr>
      </w:pPr>
      <w:r>
        <w:rPr>
          <w:rFonts w:cs="Times New Roman" w:ascii="Times New Roman" w:hAnsi="Times New Roman"/>
          <w:b/>
          <w:sz w:val="20"/>
        </w:rPr>
      </w:r>
    </w:p>
    <w:p>
      <w:pPr>
        <w:pStyle w:val="Heading1"/>
        <w:ind w:hanging="0" w:start="0"/>
        <w:jc w:val="both"/>
        <w:rPr>
          <w:b w:val="false"/>
          <w:bCs/>
          <w:sz w:val="20"/>
        </w:rPr>
      </w:pPr>
      <w:r>
        <w:rPr>
          <w:b w:val="false"/>
          <w:bCs/>
          <w:sz w:val="20"/>
        </w:rPr>
        <w:t>Developed business plan and IPO strategy to launch New Power Company, a subsidiary of Enron Corp.  Specific task includes structuring of transaction, building the financial and valuation model, development of marketing plan that includes strategy to lower customer acquisition cost by utilizing an on-line strategy. Successfully raised $120 million from private funding, negotiated and established business alliance partners, developed third party/vendor relationships, and contract negotiations.</w:t>
      </w:r>
    </w:p>
    <w:p>
      <w:pPr>
        <w:pStyle w:val="Heading1"/>
        <w:ind w:hanging="0" w:start="0"/>
        <w:jc w:val="both"/>
        <w:rPr>
          <w:b w:val="false"/>
          <w:bCs/>
          <w:sz w:val="20"/>
        </w:rPr>
      </w:pPr>
      <w:r>
        <w:rPr>
          <w:b w:val="false"/>
          <w:bCs/>
          <w:sz w:val="20"/>
        </w:rPr>
      </w:r>
    </w:p>
    <w:p>
      <w:pPr>
        <w:pStyle w:val="Heading1"/>
        <w:ind w:hanging="0" w:start="0"/>
        <w:jc w:val="both"/>
        <w:rPr>
          <w:bCs/>
          <w:sz w:val="20"/>
        </w:rPr>
      </w:pPr>
      <w:r>
        <w:rPr>
          <w:bCs/>
          <w:sz w:val="20"/>
        </w:rPr>
      </w:r>
      <w:r>
        <w:br w:type="page"/>
      </w:r>
    </w:p>
    <w:p>
      <w:pPr>
        <w:pStyle w:val="Heading1"/>
        <w:ind w:hanging="0" w:start="0"/>
        <w:jc w:val="both"/>
        <w:rPr>
          <w:bCs/>
          <w:sz w:val="20"/>
        </w:rPr>
      </w:pPr>
      <w:r>
        <w:rPr>
          <w:bCs/>
          <w:sz w:val="20"/>
        </w:rPr>
        <w:t>DIRECTOR</w:t>
      </w:r>
    </w:p>
    <w:p>
      <w:pPr>
        <w:pStyle w:val="Heading1"/>
        <w:ind w:hanging="0" w:start="0"/>
        <w:jc w:val="both"/>
        <w:rPr>
          <w:b w:val="false"/>
          <w:sz w:val="20"/>
        </w:rPr>
      </w:pPr>
      <w:r>
        <w:rPr>
          <w:b w:val="false"/>
          <w:sz w:val="20"/>
        </w:rPr>
        <w:t>Enron Energy Services (1997 – 1999)</w:t>
        <w:tab/>
        <w:tab/>
        <w:tab/>
        <w:tab/>
        <w:tab/>
        <w:tab/>
        <w:tab/>
        <w:tab/>
        <w:tab/>
      </w:r>
    </w:p>
    <w:p>
      <w:pPr>
        <w:pStyle w:val="Heading1"/>
        <w:ind w:hanging="0" w:start="0"/>
        <w:jc w:val="both"/>
        <w:rPr>
          <w:b w:val="false"/>
          <w:sz w:val="20"/>
        </w:rPr>
      </w:pPr>
      <w:r>
        <w:rPr>
          <w:b w:val="false"/>
          <w:sz w:val="20"/>
        </w:rPr>
        <w:t>Enron Corp.</w:t>
      </w:r>
    </w:p>
    <w:p>
      <w:pPr>
        <w:pStyle w:val="Normal"/>
        <w:rPr>
          <w:rFonts w:ascii="Times New Roman" w:hAnsi="Times New Roman" w:cs="Times New Roman"/>
          <w:b/>
          <w:sz w:val="20"/>
        </w:rPr>
      </w:pPr>
      <w:r>
        <w:rPr>
          <w:rFonts w:cs="Times New Roman" w:ascii="Times New Roman" w:hAnsi="Times New Roman"/>
          <w:b/>
          <w:sz w:val="20"/>
        </w:rPr>
      </w:r>
    </w:p>
    <w:p>
      <w:pPr>
        <w:pStyle w:val="BodyTextIndent"/>
        <w:ind w:start="0" w:end="0"/>
        <w:rPr/>
      </w:pPr>
      <w:r>
        <w:rPr/>
        <w:t xml:space="preserve">Determined opportunities in the deregulated California electricity market.  Evaluated customer’s needs and identified value added products and services.  Led team in product development, pricing, and execution.  Strong knowledge of electricity deregulation, ESP model and the incumbent utility’s model.  Execution of strategy resulted in revenues of over $10 million annually.  </w:t>
      </w:r>
    </w:p>
    <w:p>
      <w:pPr>
        <w:pStyle w:val="BodyTextIndent"/>
        <w:ind w:start="0" w:end="0"/>
        <w:rPr/>
      </w:pPr>
      <w:r>
        <w:rPr/>
      </w:r>
    </w:p>
    <w:p>
      <w:pPr>
        <w:pStyle w:val="BodyTextIndent"/>
        <w:ind w:start="0" w:end="0"/>
        <w:rPr/>
      </w:pPr>
      <w:r>
        <w:rPr/>
        <w:t>Selected and managed advertising agency in branding campaign.  This includes approving all creative such as brochure, storyboards, and advertising messages.  Developed marketing campaign to include product, promotion, timeline, budgets, etc.  Defined target markets and design pricing strategy.  Specific task includes management of concept testing that includes focus groups, mall intercepts and on-line surveys.</w:t>
      </w:r>
    </w:p>
    <w:p>
      <w:pPr>
        <w:pStyle w:val="BodyTextIndent"/>
        <w:ind w:start="0" w:end="0"/>
        <w:rPr/>
      </w:pPr>
      <w:r>
        <w:rPr/>
      </w:r>
    </w:p>
    <w:p>
      <w:pPr>
        <w:pStyle w:val="BodyTextIndent"/>
        <w:ind w:start="0" w:end="0"/>
        <w:rPr/>
      </w:pPr>
      <w:r>
        <w:rPr/>
        <w:t xml:space="preserve">Manage interactive agency in development of Internet site.  Specific task includes requirements definition, approval of design studies, and content analysis. </w:t>
      </w:r>
    </w:p>
    <w:p>
      <w:pPr>
        <w:pStyle w:val="BodyTextIndent"/>
        <w:ind w:start="0" w:end="0"/>
        <w:rPr/>
      </w:pPr>
      <w:r>
        <w:rPr/>
      </w:r>
    </w:p>
    <w:p>
      <w:pPr>
        <w:pStyle w:val="Normal"/>
        <w:tabs>
          <w:tab w:val="clear" w:pos="720"/>
          <w:tab w:val="left" w:pos="-547" w:leader="none"/>
          <w:tab w:val="left" w:pos="0" w:leader="none"/>
        </w:tabs>
        <w:suppressAutoHyphens w:val="true"/>
        <w:rPr>
          <w:rFonts w:ascii="Times New Roman" w:hAnsi="Times New Roman" w:cs="Times New Roman"/>
        </w:rPr>
      </w:pPr>
      <w:r>
        <w:rPr>
          <w:rFonts w:cs="Times New Roman" w:ascii="Times New Roman" w:hAnsi="Times New Roman"/>
        </w:rPr>
        <w:t>Manage a team of a Web-marketing Director and several Associates and Analysts</w:t>
      </w:r>
    </w:p>
    <w:p>
      <w:pPr>
        <w:pStyle w:val="Normal"/>
        <w:tabs>
          <w:tab w:val="clear" w:pos="720"/>
          <w:tab w:val="left" w:pos="-547" w:leader="none"/>
          <w:tab w:val="left" w:pos="0" w:leader="none"/>
          <w:tab w:val="left" w:pos="360" w:leader="none"/>
          <w:tab w:val="left" w:pos="576" w:leader="none"/>
          <w:tab w:val="left" w:pos="1296" w:leader="none"/>
          <w:tab w:val="left" w:pos="2160" w:leader="none"/>
        </w:tabs>
        <w:suppressAutoHyphens w:val="true"/>
        <w:ind w:firstLine="17280" w:end="0"/>
        <w:jc w:val="both"/>
        <w:rPr>
          <w:rFonts w:ascii="Times New Roman" w:hAnsi="Times New Roman" w:cs="Times New Roman"/>
        </w:rPr>
      </w:pPr>
      <w:r>
        <w:rPr>
          <w:rFonts w:cs="Times New Roman" w:ascii="Times New Roman" w:hAnsi="Times New Roman"/>
        </w:rPr>
        <w:tab/>
      </w:r>
    </w:p>
    <w:p>
      <w:pPr>
        <w:pStyle w:val="Heading4"/>
        <w:ind w:hanging="0" w:start="0"/>
        <w:rPr>
          <w:rFonts w:ascii="Times New Roman" w:hAnsi="Times New Roman" w:cs="Times New Roman"/>
        </w:rPr>
      </w:pPr>
      <w:r>
        <w:rPr>
          <w:rFonts w:cs="Times New Roman"/>
        </w:rPr>
      </w:r>
    </w:p>
    <w:p>
      <w:pPr>
        <w:pStyle w:val="Heading4"/>
        <w:ind w:hanging="0" w:start="0"/>
        <w:rPr/>
      </w:pPr>
      <w:r>
        <w:rPr/>
        <w:t>MANAGER</w:t>
      </w:r>
    </w:p>
    <w:p>
      <w:pPr>
        <w:pStyle w:val="Heading1"/>
        <w:ind w:hanging="0" w:start="0"/>
        <w:rPr>
          <w:b w:val="false"/>
          <w:sz w:val="20"/>
        </w:rPr>
      </w:pPr>
      <w:r>
        <w:rPr>
          <w:b w:val="false"/>
          <w:sz w:val="20"/>
        </w:rPr>
        <w:t>Enron Capital and Trade Resources  (1996-1997)</w:t>
      </w:r>
    </w:p>
    <w:p>
      <w:pPr>
        <w:pStyle w:val="Normal"/>
        <w:rPr>
          <w:rFonts w:ascii="Times New Roman" w:hAnsi="Times New Roman" w:cs="Times New Roman"/>
        </w:rPr>
      </w:pPr>
      <w:r>
        <w:rPr>
          <w:rFonts w:cs="Times New Roman" w:ascii="Times New Roman" w:hAnsi="Times New Roman"/>
        </w:rPr>
        <w:t>Enron Corp.</w:t>
      </w:r>
    </w:p>
    <w:p>
      <w:pPr>
        <w:pStyle w:val="Heading4"/>
        <w:ind w:hanging="0" w:start="0"/>
        <w:rPr/>
      </w:pPr>
      <w:r>
        <w:rPr>
          <w:b w:val="false"/>
        </w:rPr>
        <w:tab/>
        <w:tab/>
        <w:tab/>
        <w:tab/>
      </w:r>
      <w:r>
        <w:rPr/>
        <w:t xml:space="preserve">     </w:t>
        <w:tab/>
        <w:tab/>
        <w:tab/>
        <w:tab/>
        <w:t xml:space="preserve">         </w:t>
        <w:tab/>
        <w:t xml:space="preserve">       </w:t>
      </w:r>
    </w:p>
    <w:p>
      <w:pPr>
        <w:pStyle w:val="BodyTextIndent"/>
        <w:ind w:start="0" w:end="0"/>
        <w:rPr/>
      </w:pPr>
      <w:r>
        <w:rPr/>
        <w:t xml:space="preserve">Evaluated multi-year commodity sales of electricity to utilities.  This includes deal structuring of multi-year pricing contracts to minimize Enron’s risk.  Performed analysis of complex swaps and options of energy contracts.  Evaluated power plant projects for development, acquisition, and sale. </w:t>
      </w:r>
    </w:p>
    <w:p>
      <w:pPr>
        <w:pStyle w:val="Normal"/>
        <w:tabs>
          <w:tab w:val="clear" w:pos="720"/>
          <w:tab w:val="left" w:pos="-547" w:leader="none"/>
          <w:tab w:val="left" w:pos="0" w:leader="none"/>
          <w:tab w:val="left" w:pos="576" w:leader="none"/>
          <w:tab w:val="left" w:pos="1296" w:leader="none"/>
          <w:tab w:val="left" w:pos="216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547" w:leader="none"/>
          <w:tab w:val="left" w:pos="0" w:leader="none"/>
          <w:tab w:val="left" w:pos="576" w:leader="none"/>
          <w:tab w:val="left" w:pos="1296" w:leader="none"/>
          <w:tab w:val="left" w:pos="2160" w:leader="none"/>
        </w:tabs>
        <w:suppressAutoHyphens w:val="true"/>
        <w:jc w:val="both"/>
        <w:rPr>
          <w:rFonts w:ascii="Times New Roman" w:hAnsi="Times New Roman" w:cs="Times New Roman"/>
        </w:rPr>
      </w:pPr>
      <w:r>
        <w:rPr>
          <w:rFonts w:cs="Times New Roman" w:ascii="Times New Roman" w:hAnsi="Times New Roman"/>
        </w:rPr>
        <w:t>Analysis of financial cash flow models.  Specific task includes quantifying project risks, analysis of contract terms and conditions, and making recommendation to upper management</w:t>
      </w:r>
    </w:p>
    <w:p>
      <w:pPr>
        <w:pStyle w:val="Normal"/>
        <w:tabs>
          <w:tab w:val="clear" w:pos="720"/>
          <w:tab w:val="left" w:pos="-547" w:leader="none"/>
          <w:tab w:val="left" w:pos="0" w:leader="none"/>
          <w:tab w:val="left" w:pos="576" w:leader="none"/>
          <w:tab w:val="left" w:pos="1296" w:leader="none"/>
          <w:tab w:val="left" w:pos="2160" w:leader="none"/>
        </w:tabs>
        <w:suppressAutoHyphens w:val="true"/>
        <w:jc w:val="both"/>
        <w:rPr>
          <w:rFonts w:ascii="Times New Roman" w:hAnsi="Times New Roman" w:cs="Times New Roman"/>
          <w:b/>
        </w:rPr>
      </w:pPr>
      <w:r>
        <w:rPr>
          <w:rFonts w:cs="Times New Roman" w:ascii="Times New Roman" w:hAnsi="Times New Roman"/>
          <w:b/>
        </w:rPr>
        <w:tab/>
        <w:tab/>
        <w:tab/>
      </w:r>
    </w:p>
    <w:p>
      <w:pPr>
        <w:pStyle w:val="BodyTextIndent2"/>
        <w:tabs>
          <w:tab w:val="left" w:pos="-547" w:leader="none"/>
          <w:tab w:val="left" w:pos="0" w:leader="none"/>
          <w:tab w:val="left" w:pos="576" w:leader="none"/>
          <w:tab w:val="left" w:pos="1296" w:leader="none"/>
          <w:tab w:val="left" w:pos="2160" w:leader="none"/>
        </w:tabs>
        <w:ind w:start="0" w:end="0"/>
        <w:rPr/>
      </w:pPr>
      <w:r>
        <w:rPr/>
        <w:t>Member of contract negotiation team, managed changes in project scope and contact deadlines.</w:t>
      </w:r>
    </w:p>
    <w:p>
      <w:pPr>
        <w:pStyle w:val="Normal"/>
        <w:tabs>
          <w:tab w:val="clear" w:pos="720"/>
          <w:tab w:val="left" w:pos="-547" w:leader="none"/>
          <w:tab w:val="left" w:pos="0" w:leader="none"/>
          <w:tab w:val="left" w:pos="360" w:leader="none"/>
          <w:tab w:val="left" w:pos="576" w:leader="none"/>
          <w:tab w:val="left" w:pos="1296" w:leader="none"/>
          <w:tab w:val="left" w:pos="216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547" w:leader="none"/>
        </w:tabs>
        <w:suppressAutoHyphens w:val="true"/>
        <w:jc w:val="both"/>
        <w:rPr>
          <w:rFonts w:ascii="Times New Roman" w:hAnsi="Times New Roman" w:cs="Times New Roman"/>
        </w:rPr>
      </w:pPr>
      <w:r>
        <w:rPr>
          <w:rFonts w:cs="Times New Roman" w:ascii="Times New Roman" w:hAnsi="Times New Roman"/>
        </w:rPr>
        <w:t>Successfully completed Enron’s Fast-track Management Program</w:t>
      </w:r>
    </w:p>
    <w:p>
      <w:pPr>
        <w:pStyle w:val="Normal"/>
        <w:tabs>
          <w:tab w:val="clear" w:pos="720"/>
          <w:tab w:val="left" w:pos="-547" w:leader="none"/>
          <w:tab w:val="left" w:pos="0" w:leader="none"/>
          <w:tab w:val="left" w:pos="360" w:leader="none"/>
          <w:tab w:val="left" w:pos="576" w:leader="none"/>
          <w:tab w:val="left" w:pos="1296" w:leader="none"/>
          <w:tab w:val="left" w:pos="2160" w:leader="none"/>
        </w:tabs>
        <w:suppressAutoHyphens w:val="true"/>
        <w:jc w:val="both"/>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b w:val="false"/>
        </w:rPr>
      </w:pPr>
      <w:r>
        <w:rPr>
          <w:rFonts w:cs="Times New Roman"/>
          <w:b w:val="false"/>
        </w:rPr>
      </w:r>
    </w:p>
    <w:p>
      <w:pPr>
        <w:pStyle w:val="Heading4"/>
        <w:ind w:hanging="0" w:start="0"/>
        <w:rPr/>
      </w:pPr>
      <w:r>
        <w:rPr/>
        <w:t>MANAGER</w:t>
      </w:r>
    </w:p>
    <w:p>
      <w:pPr>
        <w:pStyle w:val="Heading5"/>
        <w:ind w:hanging="0" w:start="0"/>
        <w:rPr>
          <w:b w:val="false"/>
          <w:sz w:val="20"/>
        </w:rPr>
      </w:pPr>
      <w:r>
        <w:rPr>
          <w:b w:val="false"/>
          <w:sz w:val="20"/>
        </w:rPr>
        <w:t>Enron International, China (1994-1996)</w:t>
      </w:r>
    </w:p>
    <w:p>
      <w:pPr>
        <w:pStyle w:val="Normal"/>
        <w:tabs>
          <w:tab w:val="clear" w:pos="720"/>
          <w:tab w:val="left" w:pos="-547" w:leader="none"/>
          <w:tab w:val="left" w:pos="0" w:leader="none"/>
          <w:tab w:val="left" w:pos="360" w:leader="none"/>
          <w:tab w:val="left" w:pos="936" w:leader="none"/>
          <w:tab w:val="left" w:pos="2160" w:leader="none"/>
          <w:tab w:val="left" w:pos="2880" w:leader="none"/>
        </w:tabs>
        <w:suppressAutoHyphens w:val="true"/>
        <w:rPr>
          <w:rFonts w:ascii="Times New Roman" w:hAnsi="Times New Roman" w:cs="Times New Roman"/>
          <w:b/>
        </w:rPr>
      </w:pPr>
      <w:r>
        <w:rPr>
          <w:rFonts w:cs="Times New Roman" w:ascii="Times New Roman" w:hAnsi="Times New Roman"/>
          <w:b/>
        </w:rPr>
        <w:tab/>
        <w:tab/>
        <w:tab/>
        <w:tab/>
        <w:tab/>
        <w:tab/>
        <w:tab/>
        <w:tab/>
        <w:tab/>
        <w:t xml:space="preserve">         </w:t>
      </w:r>
    </w:p>
    <w:p>
      <w:pPr>
        <w:pStyle w:val="BodyTextIndent3"/>
        <w:tabs>
          <w:tab w:val="clear" w:pos="576"/>
          <w:tab w:val="left" w:pos="-547" w:leader="none"/>
          <w:tab w:val="left" w:pos="0" w:leader="none"/>
          <w:tab w:val="left" w:pos="360" w:leader="none"/>
          <w:tab w:val="left" w:pos="1296" w:leader="none"/>
          <w:tab w:val="left" w:pos="2160" w:leader="none"/>
        </w:tabs>
        <w:ind w:start="0" w:end="0"/>
        <w:rPr/>
      </w:pPr>
      <w:r>
        <w:rPr/>
        <w:t>Project development team to build, own, and transfer a 150 MW power plant in China.  This includes management of shipment, customs clearance, and delivery of $100 million in construction equipment.  Negotiated site, water supply, and port contracts with local government officials in Chinese.  Negotiated all inspection fees for shipment of cargo, saving Enron over $270,000.  Developed logistics and cost analysis strategies used in fuel purchase for power plant operations.  Obtained duty-free status and quota certification approval.</w:t>
      </w:r>
    </w:p>
    <w:p>
      <w:pPr>
        <w:pStyle w:val="Normal"/>
        <w:tabs>
          <w:tab w:val="clear" w:pos="720"/>
          <w:tab w:val="left" w:pos="-547" w:leader="none"/>
          <w:tab w:val="left" w:pos="0" w:leader="none"/>
          <w:tab w:val="left" w:pos="360" w:leader="none"/>
          <w:tab w:val="left" w:pos="936" w:leader="none"/>
          <w:tab w:val="left" w:pos="2160" w:leader="none"/>
          <w:tab w:val="left" w:pos="2880" w:leader="none"/>
        </w:tabs>
        <w:suppressAutoHyphens w:val="true"/>
        <w:rPr>
          <w:rFonts w:ascii="Times New Roman" w:hAnsi="Times New Roman" w:cs="Times New Roman"/>
          <w:b/>
        </w:rPr>
      </w:pPr>
      <w:r>
        <w:rPr>
          <w:rFonts w:cs="Times New Roman" w:ascii="Times New Roman" w:hAnsi="Times New Roman"/>
          <w:b/>
        </w:rPr>
      </w:r>
    </w:p>
    <w:p>
      <w:pPr>
        <w:pStyle w:val="Heading6"/>
        <w:ind w:hanging="0" w:start="0"/>
        <w:rPr>
          <w:rFonts w:ascii="Times New Roman" w:hAnsi="Times New Roman" w:cs="Times New Roman"/>
          <w:b w:val="false"/>
        </w:rPr>
      </w:pPr>
      <w:r>
        <w:rPr>
          <w:rFonts w:cs="Times New Roman"/>
          <w:b w:val="false"/>
        </w:rPr>
      </w:r>
    </w:p>
    <w:p>
      <w:pPr>
        <w:pStyle w:val="Heading6"/>
        <w:ind w:hanging="0" w:start="0"/>
        <w:rPr/>
      </w:pPr>
      <w:r>
        <w:rPr/>
        <w:t>PETROLEUM ECONOMIST</w:t>
      </w:r>
    </w:p>
    <w:p>
      <w:pPr>
        <w:pStyle w:val="Normal"/>
        <w:tabs>
          <w:tab w:val="clear" w:pos="720"/>
          <w:tab w:val="left" w:pos="-547" w:leader="none"/>
          <w:tab w:val="left" w:pos="0" w:leader="none"/>
          <w:tab w:val="left" w:pos="936" w:leader="none"/>
          <w:tab w:val="left" w:pos="2160" w:leader="none"/>
          <w:tab w:val="left" w:pos="2880" w:leader="none"/>
        </w:tabs>
        <w:suppressAutoHyphens w:val="true"/>
        <w:rPr>
          <w:rFonts w:ascii="Times New Roman" w:hAnsi="Times New Roman" w:cs="Times New Roman"/>
        </w:rPr>
      </w:pPr>
      <w:r>
        <w:rPr>
          <w:rFonts w:cs="Times New Roman" w:ascii="Times New Roman" w:hAnsi="Times New Roman"/>
        </w:rPr>
        <w:t xml:space="preserve">U.S. Department of Energy (1988 –1991) </w:t>
      </w:r>
    </w:p>
    <w:p>
      <w:pPr>
        <w:pStyle w:val="Heading6"/>
        <w:ind w:hanging="0" w:start="0"/>
        <w:rPr/>
      </w:pPr>
      <w:r>
        <w:rPr/>
        <w:tab/>
        <w:tab/>
        <w:tab/>
        <w:tab/>
        <w:tab/>
        <w:tab/>
        <w:tab/>
        <w:t xml:space="preserve">          </w:t>
      </w:r>
    </w:p>
    <w:p>
      <w:pPr>
        <w:pStyle w:val="BodyTextIndent"/>
        <w:tabs>
          <w:tab w:val="clear" w:pos="720"/>
          <w:tab w:val="left" w:pos="-547" w:leader="none"/>
          <w:tab w:val="left" w:pos="0" w:leader="none"/>
          <w:tab w:val="left" w:pos="936" w:leader="none"/>
          <w:tab w:val="left" w:pos="2160" w:leader="none"/>
          <w:tab w:val="left" w:pos="2880" w:leader="none"/>
        </w:tabs>
        <w:ind w:start="0" w:end="0"/>
        <w:rPr/>
      </w:pPr>
      <w:r>
        <w:rPr/>
        <w:t>Provided analysis of energy data to support federal and international energy policy.  Specific responsibilities are to monitor price and demand of international petroleum markets, create summary data for use in policy development and weekly publication of industry overview.  Published two articles in trade magazines relating to the analysis of the petroleum market.</w:t>
      </w:r>
      <w:r>
        <w:rPr>
          <w:b/>
        </w:rPr>
        <w:t xml:space="preserve"> </w:t>
        <w:tab/>
        <w:tab/>
      </w:r>
    </w:p>
    <w:p>
      <w:pPr>
        <w:pStyle w:val="Normal"/>
        <w:tabs>
          <w:tab w:val="clear" w:pos="720"/>
          <w:tab w:val="left" w:pos="-547" w:leader="none"/>
          <w:tab w:val="left" w:pos="0" w:leader="none"/>
          <w:tab w:val="left" w:pos="360" w:leader="none"/>
          <w:tab w:val="left" w:pos="576" w:leader="none"/>
          <w:tab w:val="left" w:pos="1296" w:leader="none"/>
          <w:tab w:val="left" w:pos="2160" w:leader="none"/>
        </w:tabs>
        <w:suppressAutoHyphens w:val="true"/>
        <w:jc w:val="both"/>
        <w:rPr>
          <w:rFonts w:ascii="Times New Roman" w:hAnsi="Times New Roman" w:cs="Times New Roman"/>
          <w:b/>
        </w:rPr>
      </w:pPr>
      <w:r>
        <w:rPr>
          <w:rFonts w:cs="Times New Roman" w:ascii="Times New Roman" w:hAnsi="Times New Roman"/>
          <w:b/>
        </w:rPr>
      </w:r>
      <w:r>
        <w:br w:type="page"/>
      </w:r>
    </w:p>
    <w:p>
      <w:pPr>
        <w:pStyle w:val="Heading4"/>
        <w:ind w:hanging="0" w:start="0"/>
        <w:rPr>
          <w:u w:val="single"/>
        </w:rPr>
      </w:pPr>
      <w:r>
        <w:rPr>
          <w:u w:val="single"/>
        </w:rPr>
        <w:t>Education</w:t>
      </w:r>
    </w:p>
    <w:p>
      <w:pPr>
        <w:pStyle w:val="Normal"/>
        <w:tabs>
          <w:tab w:val="clear" w:pos="720"/>
          <w:tab w:val="left" w:pos="-547" w:leader="none"/>
          <w:tab w:val="left" w:pos="0" w:leader="none"/>
          <w:tab w:val="left" w:pos="360"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1160" w:leader="none"/>
        </w:tabs>
        <w:suppressAutoHyphens w:val="true"/>
        <w:rPr>
          <w:rFonts w:ascii="Times New Roman" w:hAnsi="Times New Roman" w:cs="Times New Roman"/>
        </w:rPr>
      </w:pPr>
      <w:r>
        <w:rPr>
          <w:rFonts w:cs="Times New Roman" w:ascii="Times New Roman" w:hAnsi="Times New Roman"/>
        </w:rPr>
        <w:tab/>
        <w:tab/>
        <w:tab/>
        <w:tab/>
      </w:r>
    </w:p>
    <w:p>
      <w:pPr>
        <w:pStyle w:val="Heading6"/>
        <w:tabs>
          <w:tab w:val="clear" w:pos="2880"/>
          <w:tab w:val="left" w:pos="-547" w:leader="none"/>
          <w:tab w:val="left" w:pos="0" w:leader="none"/>
          <w:tab w:val="left" w:pos="360"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1160" w:leader="none"/>
        </w:tabs>
        <w:ind w:hanging="0" w:start="0"/>
        <w:rPr>
          <w:b w:val="false"/>
        </w:rPr>
      </w:pPr>
      <w:r>
        <w:rPr>
          <w:b w:val="false"/>
        </w:rPr>
        <w:t>American Graduate School of International Management, Thunderbird Campus (1993)</w:t>
      </w:r>
    </w:p>
    <w:p>
      <w:pPr>
        <w:pStyle w:val="Header"/>
        <w:tabs>
          <w:tab w:val="clear" w:pos="4320"/>
          <w:tab w:val="clear" w:pos="8640"/>
          <w:tab w:val="left" w:pos="-547" w:leader="none"/>
        </w:tabs>
        <w:suppressAutoHyphens w:val="true"/>
        <w:rPr>
          <w:rFonts w:ascii="Times New Roman" w:hAnsi="Times New Roman" w:cs="Times New Roman"/>
        </w:rPr>
      </w:pPr>
      <w:r>
        <w:rPr>
          <w:rFonts w:cs="Times New Roman" w:ascii="Times New Roman" w:hAnsi="Times New Roman"/>
        </w:rPr>
        <w:t>MASTER OF INTERNATIONAL MANAGEMENT</w:t>
        <w:tab/>
      </w:r>
    </w:p>
    <w:p>
      <w:pPr>
        <w:pStyle w:val="Normal"/>
        <w:tabs>
          <w:tab w:val="clear" w:pos="720"/>
          <w:tab w:val="left" w:pos="-547" w:leader="none"/>
          <w:tab w:val="left" w:pos="0" w:leader="none"/>
          <w:tab w:val="left" w:pos="360" w:leader="none"/>
          <w:tab w:val="left" w:pos="810"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547" w:leader="none"/>
          <w:tab w:val="left" w:pos="0" w:leader="none"/>
          <w:tab w:val="left" w:pos="360" w:leader="none"/>
          <w:tab w:val="left" w:pos="810"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University of Maryland, College Park  (1987)</w:t>
      </w:r>
    </w:p>
    <w:p>
      <w:pPr>
        <w:pStyle w:val="Normal"/>
        <w:tabs>
          <w:tab w:val="clear" w:pos="720"/>
          <w:tab w:val="left" w:pos="-547" w:leader="none"/>
          <w:tab w:val="left" w:pos="0" w:leader="none"/>
          <w:tab w:val="left" w:pos="360" w:leader="none"/>
          <w:tab w:val="left" w:pos="810"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 xml:space="preserve">B.A. ECONOMICS  </w:t>
      </w:r>
    </w:p>
    <w:p>
      <w:pPr>
        <w:pStyle w:val="Normal"/>
        <w:tabs>
          <w:tab w:val="clear" w:pos="720"/>
          <w:tab w:val="left" w:pos="-547" w:leader="none"/>
          <w:tab w:val="left" w:pos="0" w:leader="none"/>
          <w:tab w:val="left" w:pos="360" w:leader="none"/>
          <w:tab w:val="left" w:pos="810"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547" w:leader="none"/>
        </w:tabs>
        <w:suppressAutoHyphens w:val="true"/>
        <w:jc w:val="both"/>
        <w:rPr>
          <w:rFonts w:ascii="Times New Roman" w:hAnsi="Times New Roman" w:cs="Times New Roman"/>
        </w:rPr>
      </w:pPr>
      <w:r>
        <w:rPr>
          <w:rFonts w:cs="Times New Roman" w:ascii="Times New Roman" w:hAnsi="Times New Roman"/>
        </w:rPr>
        <w:tab/>
        <w:tab/>
      </w:r>
    </w:p>
    <w:p>
      <w:pPr>
        <w:pStyle w:val="Heading7"/>
        <w:ind w:hanging="0" w:start="0"/>
        <w:rPr>
          <w:sz w:val="20"/>
        </w:rPr>
      </w:pPr>
      <w:r>
        <w:rPr>
          <w:sz w:val="20"/>
        </w:rPr>
        <w:t>Leadership</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2001 eCommerce Task Force – Construction Industry Institute</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2001 Advisory board member – Buzzsaw.com</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1999 Leadership Texas graduate (top 5% selected in State of Texas)</w:t>
        <w:tab/>
        <w:tab/>
        <w:tab/>
        <w:tab/>
        <w:tab/>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 xml:space="preserve">1998 Recipient of two Enron’s Power Player Award for Innovation and Dedication </w:t>
        <w:tab/>
        <w:tab/>
        <w:tab/>
        <w:t xml:space="preserve"> </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1997-1999 Member of the Green Power Marketing Advisory Council</w:t>
        <w:tab/>
        <w:tab/>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1998 Co-chairperson of California Earth Day</w:t>
        <w:tab/>
        <w:tab/>
        <w:tab/>
        <w:tab/>
        <w:tab/>
        <w:tab/>
        <w:tab/>
        <w:t xml:space="preserve"> </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1990-1991 Appointed to the Total Quality Management Advisory Board, U.S. Dept. of Energy</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1991-1992 Elected Secretary and Treasurer for Toastmasters International</w:t>
        <w:tab/>
        <w:tab/>
        <w:tab/>
        <w:t xml:space="preserve"> </w:t>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rFonts w:ascii="Times New Roman" w:hAnsi="Times New Roman" w:cs="Times New Roman"/>
        </w:rPr>
      </w:pPr>
      <w:r>
        <w:rPr>
          <w:rFonts w:cs="Times New Roman" w:ascii="Times New Roman" w:hAnsi="Times New Roman"/>
        </w:rPr>
        <w:t>1990 Awarded second place in the Miss Chinatown, Washington, DC Pageant</w:t>
        <w:tab/>
        <w:tab/>
        <w:tab/>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pPr>
      <w:r>
        <w:rPr>
          <w:rFonts w:cs="Times New Roman" w:ascii="Times New Roman" w:hAnsi="Times New Roman"/>
        </w:rPr>
        <w:t>1992 Volunteered for DC Cares</w:t>
      </w:r>
      <w:r>
        <w:rPr>
          <w:rFonts w:cs="Times New Roman" w:ascii="Times New Roman" w:hAnsi="Times New Roman"/>
          <w:sz w:val="22"/>
        </w:rPr>
        <w:tab/>
        <w:tab/>
        <w:tab/>
        <w:tab/>
        <w:tab/>
        <w:tab/>
        <w:tab/>
        <w:tab/>
        <w:tab/>
      </w:r>
    </w:p>
    <w:p>
      <w:pPr>
        <w:pStyle w:val="Normal"/>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rPr/>
      </w:pPr>
      <w:r>
        <w:rPr>
          <w:rFonts w:cs="Times New Roman" w:ascii="Times New Roman" w:hAnsi="Times New Roman"/>
          <w:sz w:val="22"/>
        </w:rPr>
        <w:tab/>
        <w:tab/>
        <w:tab/>
        <w:tab/>
        <w:tab/>
      </w:r>
      <w:r>
        <w:rPr>
          <w:rFonts w:cs="Times New Roman" w:ascii="Times New Roman" w:hAnsi="Times New Roman"/>
        </w:rPr>
        <w:tab/>
        <w:tab/>
        <w:tab/>
        <w:tab/>
      </w:r>
    </w:p>
    <w:sectPr>
      <w:footerReference w:type="default" r:id="rId3"/>
      <w:type w:val="nextPage"/>
      <w:pgSz w:w="12240" w:h="15840"/>
      <w:pgMar w:left="1440" w:right="1440" w:gutter="0" w:header="0" w:top="1008"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spacing w:lineRule="exact" w:line="18"/>
      <w:jc w:val="both"/>
      <w:rPr>
        <w:spacing w:val="-2"/>
      </w:rPr>
    </w:pPr>
    <w:r>
      <w:rPr>
        <w:spacing w:val="-2"/>
      </w:rPr>
    </w:r>
  </w:p>
  <w:p>
    <w:pPr>
      <w:pStyle w:val="Normal"/>
      <w:tabs>
        <w:tab w:val="clear" w:pos="720"/>
        <w:tab w:val="left" w:pos="-720" w:leader="none"/>
      </w:tabs>
      <w:suppressAutoHyphens w:val="true"/>
      <w:spacing w:lineRule="exact" w:line="18"/>
      <w:jc w:val="both"/>
      <w:rPr>
        <w:spacing w:val="-2"/>
      </w:rPr>
    </w:pPr>
    <w:r>
      <w:rPr>
        <w:spacing w:val="-2"/>
      </w:rPr>
    </w:r>
  </w:p>
  <w:p>
    <w:pPr>
      <w:pStyle w:val="Normal"/>
      <w:tabs>
        <w:tab w:val="clear" w:pos="720"/>
        <w:tab w:val="left" w:pos="-720" w:leader="none"/>
      </w:tabs>
      <w:suppressAutoHyphens w:val="true"/>
      <w:spacing w:lineRule="exact" w:line="18"/>
      <w:jc w:val="both"/>
      <w:rPr>
        <w:spacing w:val="-2"/>
      </w:rPr>
    </w:pPr>
    <w:r>
      <w:rPr>
        <w:spacing w:val="-2"/>
      </w:rPr>
    </w:r>
  </w:p>
  <w:p>
    <w:pPr>
      <w:pStyle w:val="Normal"/>
      <w:tabs>
        <w:tab w:val="clear" w:pos="720"/>
        <w:tab w:val="left" w:pos="-720" w:leader="none"/>
      </w:tabs>
      <w:suppressAutoHyphens w:val="true"/>
      <w:spacing w:lineRule="exact" w:line="18"/>
      <w:jc w:val="both"/>
      <w:rPr>
        <w:spacing w:val="-2"/>
      </w:rPr>
    </w:pPr>
    <w:r>
      <w:fldChar w:fldCharType="begin"/>
    </w:r>
    <w:r>
      <w:rPr>
        <w:spacing w:val="-2"/>
      </w:rPr>
      <w:instrText xml:space="preserve">ADVANCE \D 3.0</w:instrText>
    </w:r>
    <w:r>
      <w:rPr>
        <w:spacing w:val="-2"/>
      </w:rPr>
    </w:r>
    <w:r>
      <w:rPr>
        <w:spacing w:val="-2"/>
      </w:rPr>
      <w:fldChar w:fldCharType="separate"/>
    </w:r>
    <w:r>
      <w:rPr>
        <w:spacing w:val="-2"/>
      </w:rPr>
    </w:r>
    <w:r/>
    <w:r>
      <w:rPr>
        <w:spacing w:val="-2"/>
      </w:rPr>
      <w:fldChar w:fldCharType="end"/>
    </w:r>
    <w:r>
      <w:rPr>
        <w:spacing w:val="-2"/>
      </w:rPr>
    </w:r>
  </w:p>
  <w:p>
    <w:pPr>
      <w:pStyle w:val="Normal"/>
      <w:tabs>
        <w:tab w:val="clear" w:pos="720"/>
        <w:tab w:val="left" w:pos="-720" w:leader="none"/>
      </w:tabs>
      <w:suppressAutoHyphens w:val="true"/>
      <w:spacing w:lineRule="exact" w:line="18"/>
      <w:jc w:val="both"/>
      <w:rPr>
        <w:spacing w:val="-2"/>
      </w:rPr>
    </w:pPr>
    <w:r>
      <w:rPr>
        <w:spacing w:val="-2"/>
      </w:rPr>
    </w:r>
  </w:p>
  <w:p>
    <w:pPr>
      <w:pStyle w:val="Normal"/>
      <w:tabs>
        <w:tab w:val="clear" w:pos="720"/>
        <w:tab w:val="left" w:pos="-720" w:leader="none"/>
      </w:tabs>
      <w:suppressAutoHyphens w:val="true"/>
      <w:spacing w:lineRule="exact" w:line="18"/>
      <w:jc w:val="both"/>
      <w:rPr>
        <w:spacing w:val="-2"/>
      </w:rPr>
    </w:pPr>
    <w:r>
      <w:rPr>
        <w:spacing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bidi="ar-SA" w:eastAsia="zh-CN"/>
    </w:rPr>
  </w:style>
  <w:style w:type="paragraph" w:styleId="Heading1">
    <w:name w:val="heading 1"/>
    <w:basedOn w:val="Normal"/>
    <w:next w:val="Normal"/>
    <w:qFormat/>
    <w:pPr>
      <w:keepNext w:val="true"/>
      <w:numPr>
        <w:ilvl w:val="0"/>
        <w:numId w:val="1"/>
      </w:numPr>
      <w:suppressAutoHyphens w:val="true"/>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suppressAutoHyphens w:val="true"/>
      <w:outlineLvl w:val="1"/>
    </w:pPr>
    <w:rPr>
      <w:rFonts w:ascii="Times New Roman" w:hAnsi="Times New Roman" w:cs="Times New Roman"/>
      <w:b/>
      <w:sz w:val="22"/>
      <w:u w:val="single"/>
    </w:rPr>
  </w:style>
  <w:style w:type="paragraph" w:styleId="Heading3">
    <w:name w:val="heading 3"/>
    <w:basedOn w:val="Normal"/>
    <w:next w:val="Normal"/>
    <w:qFormat/>
    <w:pPr>
      <w:keepNext w:val="true"/>
      <w:numPr>
        <w:ilvl w:val="2"/>
        <w:numId w:val="1"/>
      </w:numPr>
      <w:suppressAutoHyphens w:val="true"/>
      <w:outlineLvl w:val="2"/>
    </w:pPr>
    <w:rPr>
      <w:rFonts w:ascii="Times New Roman" w:hAnsi="Times New Roman" w:cs="Times New Roman"/>
      <w:b/>
      <w:i/>
    </w:rPr>
  </w:style>
  <w:style w:type="paragraph" w:styleId="Heading4">
    <w:name w:val="heading 4"/>
    <w:basedOn w:val="Normal"/>
    <w:next w:val="Normal"/>
    <w:qFormat/>
    <w:pPr>
      <w:keepNext w:val="true"/>
      <w:numPr>
        <w:ilvl w:val="3"/>
        <w:numId w:val="1"/>
      </w:numPr>
      <w:tabs>
        <w:tab w:val="clear" w:pos="720"/>
        <w:tab w:val="left" w:pos="-547" w:leader="none"/>
        <w:tab w:val="left" w:pos="0" w:leader="none"/>
        <w:tab w:val="left" w:pos="360" w:leader="none"/>
        <w:tab w:val="left" w:pos="576" w:leader="none"/>
        <w:tab w:val="left" w:pos="1296" w:leader="none"/>
        <w:tab w:val="left" w:pos="2160" w:leader="none"/>
      </w:tabs>
      <w:suppressAutoHyphens w:val="true"/>
      <w:jc w:val="both"/>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clear" w:pos="720"/>
        <w:tab w:val="left" w:pos="-547" w:leader="none"/>
      </w:tabs>
      <w:suppressAutoHyphens w:val="true"/>
      <w:jc w:val="both"/>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47" w:leader="none"/>
        <w:tab w:val="left" w:pos="0" w:leader="none"/>
        <w:tab w:val="left" w:pos="360" w:leader="none"/>
        <w:tab w:val="left" w:pos="936" w:leader="none"/>
        <w:tab w:val="left" w:pos="2160" w:leader="none"/>
        <w:tab w:val="left" w:pos="2880" w:leader="none"/>
      </w:tabs>
      <w:suppressAutoHyphens w:val="true"/>
      <w:outlineLvl w:val="5"/>
    </w:pPr>
    <w:rPr>
      <w:rFonts w:ascii="Times New Roman" w:hAnsi="Times New Roman" w:cs="Times New Roman"/>
      <w:b/>
    </w:rPr>
  </w:style>
  <w:style w:type="paragraph" w:styleId="Heading7">
    <w:name w:val="heading 7"/>
    <w:basedOn w:val="Normal"/>
    <w:next w:val="Normal"/>
    <w:qFormat/>
    <w:pPr>
      <w:keepNext w:val="true"/>
      <w:numPr>
        <w:ilvl w:val="6"/>
        <w:numId w:val="1"/>
      </w:numPr>
      <w:tabs>
        <w:tab w:val="clear" w:pos="720"/>
        <w:tab w:val="left" w:pos="-547" w:leader="none"/>
        <w:tab w:val="left" w:pos="0" w:leader="none"/>
        <w:tab w:val="left" w:pos="576" w:leader="none"/>
        <w:tab w:val="left" w:pos="936" w:leader="none"/>
        <w:tab w:val="left" w:pos="1296"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386" w:leader="none"/>
        <w:tab w:val="left" w:pos="10800" w:leader="none"/>
      </w:tabs>
      <w:suppressAutoHyphens w:val="true"/>
      <w:outlineLvl w:val="6"/>
    </w:pPr>
    <w:rPr>
      <w:rFonts w:ascii="Times New Roman" w:hAnsi="Times New Roman" w:cs="Times New Roman"/>
      <w:b/>
      <w:sz w:val="24"/>
      <w:u w:val="single"/>
    </w:rPr>
  </w:style>
  <w:style w:type="paragraph" w:styleId="Heading8">
    <w:name w:val="heading 8"/>
    <w:basedOn w:val="Normal"/>
    <w:next w:val="Normal"/>
    <w:qFormat/>
    <w:pPr>
      <w:keepNext w:val="true"/>
      <w:numPr>
        <w:ilvl w:val="7"/>
        <w:numId w:val="1"/>
      </w:numPr>
      <w:tabs>
        <w:tab w:val="clear" w:pos="720"/>
        <w:tab w:val="left" w:pos="-547" w:leader="none"/>
        <w:tab w:val="left" w:pos="0" w:leader="none"/>
        <w:tab w:val="left" w:pos="360" w:leader="none"/>
        <w:tab w:val="left" w:pos="576" w:leader="none"/>
        <w:tab w:val="left" w:pos="1296" w:leader="none"/>
        <w:tab w:val="left" w:pos="2160" w:leader="none"/>
      </w:tabs>
      <w:suppressAutoHyphens w:val="true"/>
      <w:jc w:val="both"/>
      <w:outlineLvl w:val="7"/>
    </w:pPr>
    <w:rPr>
      <w:rFonts w:ascii="Times New Roman" w:hAnsi="Times New Roman" w:cs="Times New Roman"/>
      <w:b/>
      <w:sz w:val="22"/>
      <w:u w:val="single"/>
    </w:rPr>
  </w:style>
  <w:style w:type="paragraph" w:styleId="Heading9">
    <w:name w:val="heading 9"/>
    <w:basedOn w:val="Normal"/>
    <w:next w:val="Normal"/>
    <w:qFormat/>
    <w:pPr>
      <w:keepNext w:val="true"/>
      <w:numPr>
        <w:ilvl w:val="8"/>
        <w:numId w:val="1"/>
      </w:numPr>
      <w:suppressAutoHyphens w:val="true"/>
      <w:outlineLvl w:val="8"/>
    </w:pPr>
    <w:rPr>
      <w:rFonts w:ascii="Times New Roman" w:hAnsi="Times New Roman" w:cs="Times New Roman"/>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b/>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b/>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EquationCaption">
    <w:name w:val="_Equation Caption"/>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pPr>
    <w:rPr>
      <w:rFonts w:ascii="Times New Roman" w:hAnsi="Times New Roman" w:cs="Times New Roman"/>
      <w:bCs/>
      <w:sz w:val="22"/>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BodyTextIndent">
    <w:name w:val="Body Text Indent"/>
    <w:basedOn w:val="Normal"/>
    <w:pPr>
      <w:suppressAutoHyphens w:val="true"/>
      <w:ind w:hanging="0" w:start="360" w:end="0"/>
    </w:pPr>
    <w:rPr>
      <w:rFonts w:ascii="Times New Roman" w:hAnsi="Times New Roman" w:cs="Times New Roman"/>
    </w:rPr>
  </w:style>
  <w:style w:type="paragraph" w:styleId="BodyTextIndent2">
    <w:name w:val="Body Text Indent 2"/>
    <w:basedOn w:val="Normal"/>
    <w:qFormat/>
    <w:pPr>
      <w:tabs>
        <w:tab w:val="clear" w:pos="720"/>
        <w:tab w:val="left" w:pos="-547" w:leader="none"/>
        <w:tab w:val="left" w:pos="0" w:leader="none"/>
      </w:tabs>
      <w:suppressAutoHyphens w:val="true"/>
      <w:ind w:hanging="0" w:start="360" w:end="0"/>
      <w:jc w:val="both"/>
    </w:pPr>
    <w:rPr>
      <w:rFonts w:ascii="Times New Roman" w:hAnsi="Times New Roman" w:cs="Times New Roman"/>
    </w:rPr>
  </w:style>
  <w:style w:type="paragraph" w:styleId="BodyTextIndent3">
    <w:name w:val="Body Text Indent 3"/>
    <w:basedOn w:val="Normal"/>
    <w:qFormat/>
    <w:pPr>
      <w:tabs>
        <w:tab w:val="clear" w:pos="720"/>
        <w:tab w:val="left" w:pos="-547" w:leader="none"/>
        <w:tab w:val="left" w:pos="0" w:leader="none"/>
        <w:tab w:val="left" w:pos="576" w:leader="none"/>
        <w:tab w:val="left" w:pos="1296" w:leader="none"/>
        <w:tab w:val="left" w:pos="2160" w:leader="none"/>
      </w:tabs>
      <w:suppressAutoHyphens w:val="true"/>
      <w:ind w:hanging="0" w:start="576"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doyle@pdq.ne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2001-09-24T16:08:00Z</dcterms:created>
  <dc:creator>ldoyle</dc:creator>
  <dc:description/>
  <dc:language>en-CA</dc:language>
  <cp:lastModifiedBy>ldoyle</cp:lastModifiedBy>
  <cp:lastPrinted>2001-01-02T16:10:00Z</cp:lastPrinted>
  <dcterms:modified xsi:type="dcterms:W3CDTF">2001-09-24T16:08:00Z</dcterms:modified>
  <cp:revision>2</cp:revision>
  <dc:subject/>
  <dc:title>EXPERIENCE</dc:title>
</cp:coreProperties>
</file>