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11-09-01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color w:val="FF0000"/>
        </w:rPr>
      </w:pPr>
      <w:r>
        <w:rPr>
          <w:rFonts w:eastAsia="Arial Unicode MS" w:cs="Arial Unicode MS" w:ascii="Arial Unicode MS" w:hAnsi="Arial Unicode MS"/>
        </w:rPr>
        <w:t>Caithness – Big Sandy</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The Big Sandy 780 MW generating plant is awaiting a yes/no approval vote from the ACC Commissioners on November 26.  If a yes vote, Caithness will be ready to proceed with the interconnect agreement.  If a no vote, Caithness will have to determine if they are prepared to resubmit the project.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Pemex - TransPecos</w:t>
      </w:r>
    </w:p>
    <w:p>
      <w:pPr>
        <w:pStyle w:val="Normal"/>
        <w:autoSpaceDE w:val="false"/>
        <w:rPr>
          <w:rFonts w:ascii="Arial Unicode MS" w:hAnsi="Arial Unicode MS" w:cs="Arial Unicode MS"/>
          <w:szCs w:val="20"/>
        </w:rPr>
      </w:pPr>
      <w:r>
        <w:rPr>
          <w:rFonts w:cs="Arial Unicode MS" w:ascii="Arial Unicode MS" w:hAnsi="Arial Unicode MS"/>
          <w:szCs w:val="20"/>
        </w:rPr>
        <w:t>We continue to have discussions with Kinder Morgan and Pemex regarding various scenarios of volume, term and rate that will meet the economic requirements for all parties for the TransPecos Project.  We are awaiting volume information from Pemex that will help us narrow down some parameters of structuring a deal.</w:t>
      </w:r>
    </w:p>
    <w:p>
      <w:pPr>
        <w:pStyle w:val="Normal"/>
        <w:rPr>
          <w:rFonts w:ascii="Arial Unicode MS" w:hAnsi="Arial Unicode MS" w:eastAsia="Arial Unicode MS" w:cs="Arial Unicode MS"/>
          <w:szCs w:val="20"/>
        </w:rPr>
      </w:pPr>
      <w:r>
        <w:rPr>
          <w:rFonts w:eastAsia="Arial Unicode MS" w:cs="Arial Unicode MS" w:ascii="Arial Unicode MS" w:hAnsi="Arial Unicode MS"/>
          <w:szCs w:val="20"/>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the Griffith Plant to the West of Thoreau Area total $3,000</w:t>
      </w:r>
      <w:r>
        <w:rPr>
          <w:rFonts w:cs="Arial Unicode MS" w:ascii="Arial Unicode MS" w:hAnsi="Arial Unicode MS"/>
          <w:color w:val="FF0000"/>
          <w:szCs w:val="20"/>
        </w:rPr>
        <w:t xml:space="preserve"> </w:t>
      </w:r>
      <w:r>
        <w:rPr>
          <w:rFonts w:cs="Arial Unicode MS" w:ascii="Arial Unicode MS" w:hAnsi="Arial Unicode MS"/>
          <w:szCs w:val="20"/>
        </w:rPr>
        <w:t>through November 9.</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We have posted the PG&amp;E ROFR capacity on the EBB for bid solicitation.  This capacity is for 21,000MMBtu/d at SoCal Needles and 40,000MMBtu/d at PG&amp;E Topock beginning November 1, 2002.  </w:t>
      </w:r>
    </w:p>
    <w:p>
      <w:pPr>
        <w:pStyle w:val="Normal"/>
        <w:autoSpaceDE w:val="false"/>
        <w:rPr>
          <w:rFonts w:ascii="Arial" w:hAnsi="Arial" w:cs="Arial"/>
          <w:sz w:val="20"/>
          <w:szCs w:val="20"/>
        </w:rPr>
      </w:pPr>
      <w:r>
        <w:rPr>
          <w:rFonts w:cs="Arial" w:ascii="Arial" w:hAnsi="Arial"/>
          <w:sz w:val="20"/>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2001-11-09T17:08:00Z</dcterms:created>
  <dc:creator>kwatson</dc:creator>
  <dc:description/>
  <dc:language>en-CA</dc:language>
  <cp:lastModifiedBy>kwatson</cp:lastModifiedBy>
  <dcterms:modified xsi:type="dcterms:W3CDTF">2001-11-09T17:08:00Z</dcterms:modified>
  <cp:revision>2</cp:revision>
  <dc:subject/>
  <dc:title>BULLETS 06-01-01</dc:title>
</cp:coreProperties>
</file>