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10-12-01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Questar Southern Trails</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On Monday, Transwestern will be submitting to Questar an expression of interest pertaining to the acquisition of the West Leg of the Southern Trails Pipeline.  It is a non-binding offer and subject to various management and other necessary approvals.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Operator Balancing Agreements (OBA)</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Marketing continues to communicate and work with the Operators that were notified of termination of their volumetric OBA effective November 1.  They will now be under the tariff OBA which is dollar valued.  We are pursuing resolution payback plans with each of the Operators on the existing imbalances.     </w:t>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the Griffith Plant to the West of Thoreau Area total $62,000</w:t>
      </w:r>
      <w:r>
        <w:rPr>
          <w:rFonts w:cs="Arial Unicode MS" w:ascii="Arial Unicode MS" w:hAnsi="Arial Unicode MS"/>
          <w:color w:val="FF0000"/>
          <w:szCs w:val="20"/>
        </w:rPr>
        <w:t xml:space="preserve"> </w:t>
      </w:r>
      <w:r>
        <w:rPr>
          <w:rFonts w:cs="Arial Unicode MS" w:ascii="Arial Unicode MS" w:hAnsi="Arial Unicode MS"/>
          <w:szCs w:val="20"/>
        </w:rPr>
        <w:t>through October 11.</w:t>
      </w:r>
    </w:p>
    <w:p>
      <w:pPr>
        <w:pStyle w:val="Normal"/>
        <w:autoSpaceDE w:val="false"/>
        <w:ind w:start="360" w:end="0"/>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WW8NumSt6z1">
    <w:name w:val="WW8NumSt6z1"/>
    <w:qFormat/>
    <w:rPr>
      <w:rFonts w:ascii="Courier New" w:hAnsi="Courier New" w:cs="Courier New"/>
    </w:rPr>
  </w:style>
  <w:style w:type="character" w:styleId="WW8NumSt6z2">
    <w:name w:val="WW8NumSt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2001-10-12T16:07:00Z</dcterms:created>
  <dc:creator>kwatson</dc:creator>
  <dc:description/>
  <dc:language>en-CA</dc:language>
  <cp:lastModifiedBy>kwatson</cp:lastModifiedBy>
  <dcterms:modified xsi:type="dcterms:W3CDTF">2001-10-12T16:34:00Z</dcterms:modified>
  <cp:revision>4</cp:revision>
  <dc:subject/>
  <dc:title>BULLETS 06-01-01</dc:title>
</cp:coreProperties>
</file>