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BULLETS 07-27-01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540" w:start="5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 xml:space="preserve"> </w:t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>TW sold a total of 25,000 MMBtu of payback gas this week to Richardson Products at an average price of $3.13 compared to TW index price through July 17th of $2.76.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>The TW IT backhauls from PG&amp;E Topock to the West of Thoreau Area totals $252,000 through July 27th.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 xml:space="preserve">The TW Reliant Negotiated Rate deal from San Juan to East of Thoreau Area totals $35,000 through July 27th.  TW also rolled the Reliant Negotiated Rate deal for August 2001.  The rate is based on a sharing of the basis differential between San Juan and Permian.  </w:t>
      </w:r>
    </w:p>
    <w:sectPr>
      <w:type w:val="nextPage"/>
      <w:pgSz w:w="12240" w:h="15840"/>
      <w:pgMar w:left="5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2001-07-27T13:31:00Z</dcterms:created>
  <dc:creator>kwatson</dc:creator>
  <dc:description/>
  <dc:language>en-CA</dc:language>
  <cp:lastModifiedBy>kwatson</cp:lastModifiedBy>
  <dcterms:modified xsi:type="dcterms:W3CDTF">2001-07-27T13:31:00Z</dcterms:modified>
  <cp:revision>2</cp:revision>
  <dc:subject/>
  <dc:title>BULLETS 06-01-01</dc:title>
</cp:coreProperties>
</file>