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[Date]</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rPr/>
      </w:pPr>
      <w:r>
        <w:rPr/>
      </w:r>
    </w:p>
    <w:p>
      <w:pPr>
        <w:pStyle w:val="Normal"/>
        <w:rPr/>
      </w:pPr>
      <w:r>
        <w:rPr/>
      </w:r>
    </w:p>
    <w:p>
      <w:pPr>
        <w:pStyle w:val="Normal"/>
        <w:pBdr>
          <w:bottom w:val="single" w:sz="6" w:space="1" w:color="000000"/>
        </w:pBdr>
        <w:rPr/>
      </w:pPr>
      <w:r>
        <w:rPr/>
        <w:t>To:</w:t>
        <w:tab/>
        <w:t>Bear, Stearns &amp; Co. Inc.  (Party “A”)</w:t>
      </w:r>
    </w:p>
    <w:p>
      <w:pPr>
        <w:pStyle w:val="Normal"/>
        <w:pBdr>
          <w:bottom w:val="single" w:sz="6" w:space="1" w:color="000000"/>
        </w:pBdr>
        <w:rPr/>
      </w:pPr>
      <w:r>
        <w:rPr/>
        <w:tab/>
        <w:t>245 Park Avenue</w:t>
      </w:r>
    </w:p>
    <w:p>
      <w:pPr>
        <w:pStyle w:val="Footer"/>
        <w:pBdr>
          <w:bottom w:val="single" w:sz="6" w:space="1" w:color="000000"/>
        </w:pBdr>
        <w:tabs>
          <w:tab w:val="clear" w:pos="4320"/>
          <w:tab w:val="clear" w:pos="8640"/>
        </w:tabs>
        <w:rPr/>
      </w:pPr>
      <w:r>
        <w:rPr/>
        <w:tab/>
        <w:t>New York, New York 10167</w:t>
      </w:r>
    </w:p>
    <w:p>
      <w:pPr>
        <w:pStyle w:val="Normal"/>
        <w:pBdr>
          <w:bottom w:val="single" w:sz="6" w:space="1" w:color="000000"/>
        </w:pBdr>
        <w:rPr/>
      </w:pPr>
      <w:r>
        <w:rPr/>
        <w:tab/>
        <w:t>Attention:  Tom Blair</w:t>
      </w:r>
    </w:p>
    <w:p>
      <w:pPr>
        <w:pStyle w:val="Normal"/>
        <w:pBdr>
          <w:bottom w:val="single" w:sz="6" w:space="1" w:color="000000"/>
        </w:pBdr>
        <w:rPr/>
      </w:pPr>
      <w:r>
        <w:rPr/>
        <w:tab/>
        <w:t>Telephone:  212 272-2000</w:t>
      </w:r>
    </w:p>
    <w:p>
      <w:pPr>
        <w:pStyle w:val="Normal"/>
        <w:pBdr>
          <w:bottom w:val="single" w:sz="6" w:space="1" w:color="000000"/>
        </w:pBdr>
        <w:rPr/>
      </w:pPr>
      <w:r>
        <w:rPr/>
        <w:tab/>
        <w:t>Facsimile:  212 272-9857</w:t>
      </w:r>
    </w:p>
    <w:p>
      <w:pPr>
        <w:pStyle w:val="Normal"/>
        <w:pBdr>
          <w:bottom w:val="single" w:sz="6" w:space="1" w:color="000000"/>
        </w:pBdr>
        <w:rPr/>
      </w:pPr>
      <w:r>
        <w:rPr/>
      </w:r>
    </w:p>
    <w:p>
      <w:pPr>
        <w:pStyle w:val="Normal"/>
        <w:pBdr>
          <w:bottom w:val="single" w:sz="6" w:space="1" w:color="000000"/>
        </w:pBdr>
        <w:rPr/>
      </w:pPr>
      <w:r>
        <w:rPr/>
        <w:t>From:</w:t>
        <w:tab/>
        <w:t>Enron Corp.  (Party “B”)</w:t>
      </w:r>
    </w:p>
    <w:p>
      <w:pPr>
        <w:pStyle w:val="Normal"/>
        <w:pBdr>
          <w:bottom w:val="single" w:sz="6" w:space="1" w:color="000000"/>
        </w:pBdr>
        <w:rPr/>
      </w:pPr>
      <w:r>
        <w:rPr/>
        <w:tab/>
        <w:t>1400 Smith Street</w:t>
      </w:r>
    </w:p>
    <w:p>
      <w:pPr>
        <w:pStyle w:val="Normal"/>
        <w:pBdr>
          <w:bottom w:val="single" w:sz="6" w:space="1" w:color="000000"/>
        </w:pBdr>
        <w:rPr/>
      </w:pPr>
      <w:r>
        <w:rPr/>
        <w:tab/>
        <w:t>Houston, TX 77002</w:t>
      </w:r>
    </w:p>
    <w:p>
      <w:pPr>
        <w:pStyle w:val="Normal"/>
        <w:pBdr>
          <w:bottom w:val="single" w:sz="6" w:space="1" w:color="000000"/>
        </w:pBdr>
        <w:rPr/>
      </w:pPr>
      <w:r>
        <w:rPr/>
        <w:tab/>
        <w:t>Attention:   Jeff Nogid</w:t>
      </w:r>
    </w:p>
    <w:p>
      <w:pPr>
        <w:pStyle w:val="Normal"/>
        <w:pBdr>
          <w:bottom w:val="single" w:sz="6" w:space="1" w:color="000000"/>
        </w:pBdr>
        <w:rPr/>
      </w:pPr>
      <w:r>
        <w:rPr/>
        <w:tab/>
        <w:t>Telephone: 713 853-4782</w:t>
      </w:r>
    </w:p>
    <w:p>
      <w:pPr>
        <w:pStyle w:val="Normal"/>
        <w:pBdr>
          <w:bottom w:val="single" w:sz="6" w:space="1" w:color="000000"/>
        </w:pBdr>
        <w:rPr/>
      </w:pPr>
      <w:r>
        <w:rPr/>
        <w:tab/>
        <w:t>Facsimile:  713 646-8517</w:t>
      </w:r>
    </w:p>
    <w:p>
      <w:pPr>
        <w:pStyle w:val="Normal"/>
        <w:pBdr>
          <w:bottom w:val="single" w:sz="6" w:space="1" w:color="000000"/>
        </w:pBdr>
        <w:tabs>
          <w:tab w:val="clear" w:pos="720"/>
          <w:tab w:val="right" w:pos="11232" w:leader="none"/>
        </w:tabs>
        <w:jc w:val="both"/>
        <w:rPr/>
      </w:pPr>
      <w:r>
        <w:rPr/>
      </w:r>
    </w:p>
    <w:p>
      <w:pPr>
        <w:pStyle w:val="HeadingConfirm"/>
        <w:tabs>
          <w:tab w:val="clear" w:pos="576"/>
          <w:tab w:val="clear" w:pos="900"/>
        </w:tabs>
        <w:spacing w:before="120" w:after="0"/>
        <w:rPr/>
      </w:pPr>
      <w:r>
        <w:rPr/>
        <w:t>Re:</w:t>
        <w:tab/>
        <w:t>Transaction BS Contract No. NY 11062</w:t>
      </w:r>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document is to confirm the terms and conditions of the transaction entered into between Bear, Stearns &amp; Co. Inc. (“Counterparty”) and Enron Corp. (“ENE”) on the Trade Date specified below (the "Transaction").  This document constitutes a "Confirmation" as referred to in the ISDA Master Agreement</w:t>
      </w:r>
      <w:r>
        <w:rPr>
          <w:b/>
        </w:rPr>
        <w:t xml:space="preserve"> </w:t>
      </w:r>
      <w:r>
        <w:rPr/>
        <w:t>specified below and the transaction described above constitutes a “Transaction” as referred to in such ISDA Agreement.</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2000 ISDA Definitions (the “Swap Definitions”) and the 1996 ISDA Equity Derivatives Definitions (the “Equity Definitions”, and together with the Swap Definitions, the “Definitions”), as such definitions may be amended, supplemented, replaced or modified from time to time,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pPr>
      <w:r>
        <w:rPr/>
        <w:t>This Confirmation supplements, forms a part of, and is subject to, the ISDA Master Agreement dated as of  ___________________, as amended and supplemented from time to time (the “Agreement”), between you and us.  All provisions contained in the Agreement govern this Confirmation except as expressly modified below.</w:t>
      </w:r>
    </w:p>
    <w:p>
      <w:pPr>
        <w:pStyle w:val="Normal"/>
        <w:tabs>
          <w:tab w:val="clear" w:pos="720"/>
          <w:tab w:val="left" w:pos="576" w:leader="none"/>
          <w:tab w:val="left" w:pos="900" w:leader="none"/>
        </w:tabs>
        <w:jc w:val="both"/>
        <w:rPr/>
      </w:pPr>
      <w:r>
        <w:rPr/>
      </w:r>
    </w:p>
    <w:p>
      <w:pPr>
        <w:pStyle w:val="Normal"/>
        <w:tabs>
          <w:tab w:val="clear" w:pos="720"/>
          <w:tab w:val="left" w:pos="576" w:leader="none"/>
          <w:tab w:val="left" w:pos="900" w:leader="none"/>
        </w:tabs>
        <w:jc w:val="both"/>
        <w:rPr>
          <w:b/>
        </w:rPr>
      </w:pPr>
      <w:r>
        <w:rPr/>
        <w:t xml:space="preserve">The terms of the particular Transaction to which this Confirmation relates are as follows: </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3780" w:end="0"/>
        <w:rPr/>
      </w:pPr>
      <w:r>
        <w:rPr/>
        <w:t>Trade Date:</w:t>
        <w:tab/>
        <w:t>June 1, 2000</w:t>
      </w:r>
    </w:p>
    <w:p>
      <w:pPr>
        <w:pStyle w:val="Normal"/>
        <w:rPr/>
      </w:pPr>
      <w:r>
        <w:rPr/>
      </w:r>
    </w:p>
    <w:p>
      <w:pPr>
        <w:pStyle w:val="Normal"/>
        <w:ind w:hanging="3600" w:start="3780" w:end="0"/>
        <w:rPr/>
      </w:pPr>
      <w:r>
        <w:rPr/>
        <w:t>Effective Date:</w:t>
        <w:tab/>
        <w:t>June 1, 2000</w:t>
      </w:r>
    </w:p>
    <w:p>
      <w:pPr>
        <w:pStyle w:val="Normal"/>
        <w:rPr/>
      </w:pPr>
      <w:r>
        <w:rPr/>
      </w:r>
    </w:p>
    <w:p>
      <w:pPr>
        <w:pStyle w:val="Normal"/>
        <w:ind w:hanging="3600" w:start="3780" w:end="0"/>
        <w:rPr/>
      </w:pPr>
      <w:r>
        <w:rPr/>
        <w:t>Termination Date:</w:t>
        <w:tab/>
        <w:t>May 24, 2001</w:t>
      </w:r>
    </w:p>
    <w:p>
      <w:pPr>
        <w:pStyle w:val="Normal"/>
        <w:rPr/>
      </w:pPr>
      <w:r>
        <w:rPr/>
      </w:r>
    </w:p>
    <w:p>
      <w:pPr>
        <w:pStyle w:val="BodyTextIndent3"/>
        <w:ind w:hanging="3600" w:start="3780" w:end="0"/>
        <w:jc w:val="both"/>
        <w:rPr/>
      </w:pPr>
      <w:r>
        <w:rPr/>
        <w:t>Shares:</w:t>
        <w:tab/>
        <w:t xml:space="preserve">Common shares of Enron Corp. (the “Issuer”) (Ticker Symbol:  ENE) </w:t>
      </w:r>
    </w:p>
    <w:p>
      <w:pPr>
        <w:pStyle w:val="Normal"/>
        <w:rPr/>
      </w:pPr>
      <w:r>
        <w:rPr/>
      </w:r>
    </w:p>
    <w:p>
      <w:pPr>
        <w:pStyle w:val="Normal"/>
        <w:ind w:hanging="3600" w:start="3780" w:end="0"/>
        <w:rPr/>
      </w:pPr>
      <w:r>
        <w:rPr/>
        <w:t xml:space="preserve">Exchange: </w:t>
        <w:tab/>
        <w:t>New York Stock Exchange</w:t>
      </w:r>
    </w:p>
    <w:p>
      <w:pPr>
        <w:pStyle w:val="Normal"/>
        <w:ind w:hanging="3600" w:start="4320" w:end="0"/>
        <w:rPr/>
      </w:pPr>
      <w:r>
        <w:rPr/>
      </w:r>
    </w:p>
    <w:p>
      <w:pPr>
        <w:pStyle w:val="Normal"/>
        <w:ind w:hanging="3600" w:start="378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378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3780" w:end="0"/>
        <w:rPr/>
      </w:pPr>
      <w:r>
        <w:rPr/>
        <w:t>Number of Shares:</w:t>
        <w:tab/>
        <w:t>323,000</w:t>
      </w:r>
    </w:p>
    <w:p>
      <w:pPr>
        <w:pStyle w:val="FootnoteText"/>
        <w:rPr/>
      </w:pPr>
      <w:r>
        <w:rPr/>
      </w:r>
    </w:p>
    <w:p>
      <w:pPr>
        <w:pStyle w:val="FootnoteText"/>
        <w:ind w:hanging="3600" w:start="3780" w:end="0"/>
        <w:rPr/>
      </w:pPr>
      <w:r>
        <w:rPr/>
        <w:t xml:space="preserve">Settlement Currency: </w:t>
        <w:tab/>
        <w:t>USD</w:t>
      </w:r>
    </w:p>
    <w:p>
      <w:pPr>
        <w:pStyle w:val="FootnoteText"/>
        <w:ind w:hanging="3600" w:start="3780" w:end="0"/>
        <w:rPr/>
      </w:pPr>
      <w:r>
        <w:rPr/>
      </w:r>
    </w:p>
    <w:p>
      <w:pPr>
        <w:pStyle w:val="Normal"/>
        <w:ind w:hanging="3600" w:start="3780" w:end="0"/>
        <w:rPr/>
      </w:pPr>
      <w:r>
        <w:rPr/>
        <w:t>Clearance System:</w:t>
        <w:tab/>
        <w:t>The relevant Clearance System for the shares</w:t>
      </w:r>
    </w:p>
    <w:p>
      <w:pPr>
        <w:pStyle w:val="Normal"/>
        <w:ind w:hanging="3600" w:start="378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jc w:val="both"/>
              <w:rPr/>
            </w:pPr>
            <w:r>
              <w:rPr/>
              <w:t>Physical Settlement (as defined below) shall apply to this Transaction, unless Party B notifies Party A by written notice of its election of Net Share Settlement by 9:00 a.m. (local time in New York) at least 10</w:t>
            </w:r>
            <w:r>
              <w:rPr>
                <w:color w:val="FF0000"/>
              </w:rPr>
              <w:t xml:space="preserve"> </w:t>
            </w:r>
            <w:r>
              <w:rPr/>
              <w:t>Exchange Business Days prior to the Valuation Date.</w:t>
            </w:r>
          </w:p>
          <w:p>
            <w:pPr>
              <w:pStyle w:val="Footer"/>
              <w:tabs>
                <w:tab w:val="clear" w:pos="4320"/>
                <w:tab w:val="clear" w:pos="8640"/>
              </w:tabs>
              <w:spacing w:before="100" w:after="0"/>
              <w:jc w:val="both"/>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t>[</w:t>
            </w:r>
            <w:r>
              <w:rPr/>
            </w:r>
            <m:oMath xmlns:m="http://schemas.openxmlformats.org/officeDocument/2006/math">
              <m:f>
                <m:num>
                  <m:r>
                    <m:t xml:space="preserve">s</m:t>
                  </m:r>
                </m:num>
                <m:den>
                  <m:r>
                    <m:t xml:space="preserve">p</m:t>
                  </m:r>
                </m:den>
              </m:f>
            </m:oMath>
            <w:r>
              <w:rPr/>
              <w:t xml:space="preserve"> x  Number of Shares</w:t>
            </w:r>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969,000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and continuation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Party A by written notice of its election of Net Share Settlement within one (1) Business Day of the effective date of the Price Trigger Notice.</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$50.00 per Share or lower for 3 consecutive Exchange Business Days.</w:t>
            </w:r>
          </w:p>
        </w:tc>
      </w:tr>
      <w:tr>
        <w:trPr/>
        <w:tc>
          <w:tcPr>
            <w:tcW w:w="3420" w:type="dxa"/>
            <w:tcBorders/>
          </w:tcPr>
          <w:p>
            <w:pPr>
              <w:pStyle w:val="gt1"/>
              <w:spacing w:before="100" w:after="0"/>
              <w:ind w:start="0" w:end="0"/>
              <w:rPr>
                <w:u w:val="single"/>
              </w:rPr>
            </w:pPr>
            <w:r>
              <w:rPr>
                <w:u w:val="single"/>
              </w:rPr>
              <w:t>Equity Amounts payable by Party B:</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B</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Forward Price:</w:t>
            </w:r>
          </w:p>
        </w:tc>
        <w:tc>
          <w:tcPr>
            <w:tcW w:w="5940" w:type="dxa"/>
            <w:tcBorders/>
          </w:tcPr>
          <w:p>
            <w:pPr>
              <w:pStyle w:val="HeadingConfirm"/>
              <w:tabs>
                <w:tab w:val="clear" w:pos="576"/>
                <w:tab w:val="clear" w:pos="900"/>
              </w:tabs>
              <w:spacing w:before="100" w:after="0"/>
              <w:ind w:start="-18" w:end="0"/>
              <w:rPr/>
            </w:pPr>
            <w:r>
              <w:rPr/>
              <w:t>The Initial Price for the initial Reset Date is as follows:</w:t>
            </w:r>
          </w:p>
          <w:p>
            <w:pPr>
              <w:pStyle w:val="HeadingConfirm"/>
              <w:tabs>
                <w:tab w:val="clear" w:pos="576"/>
                <w:tab w:val="clear" w:pos="900"/>
              </w:tabs>
              <w:spacing w:before="100" w:after="0"/>
              <w:rPr/>
            </w:pPr>
            <w:r>
              <w:rPr/>
            </w:r>
          </w:p>
          <w:p>
            <w:pPr>
              <w:pStyle w:val="HeadingConfirm"/>
              <w:tabs>
                <w:tab w:val="clear" w:pos="576"/>
                <w:tab w:val="clear" w:pos="900"/>
              </w:tabs>
              <w:spacing w:before="0" w:after="0"/>
              <w:rPr/>
            </w:pPr>
            <w:r>
              <w:rPr/>
              <w:t xml:space="preserve">USD 79.415 </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 xml:space="preserve">[The average execution price per Share at which Party A executes the unwind of its hedge hereunder [minus </w:t>
            </w:r>
            <w:r>
              <w:rPr>
                <w:color w:val="FF0000"/>
              </w:rPr>
              <w:t>USD______</w:t>
            </w:r>
            <w:r>
              <w:rPr/>
              <w:t xml:space="preserve">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color w:val="FF0000"/>
              </w:rPr>
              <w:t>[                    ] Exchange Business Days</w:t>
            </w:r>
            <w:r>
              <w:rPr/>
              <w:t xml:space="preserve">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BodyText3"/>
              <w:spacing w:before="100" w:after="0"/>
              <w:rPr>
                <w:color w:val="auto"/>
              </w:rPr>
            </w:pPr>
            <w:r>
              <w:rPr>
                <w:color w:val="auto"/>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r>
          </w:p>
        </w:tc>
      </w:tr>
      <w:tr>
        <w:trPr/>
        <w:tc>
          <w:tcPr>
            <w:tcW w:w="3420" w:type="dxa"/>
            <w:tcBorders/>
          </w:tcPr>
          <w:p>
            <w:pPr>
              <w:pStyle w:val="Normal"/>
              <w:spacing w:before="120" w:after="0"/>
              <w:ind w:start="360" w:end="0"/>
              <w:rPr/>
            </w:pPr>
            <w:r>
              <w:rPr/>
              <w:t>Additional Representations:</w:t>
            </w:r>
          </w:p>
        </w:tc>
        <w:tc>
          <w:tcPr>
            <w:tcW w:w="5940" w:type="dxa"/>
            <w:tcBorders/>
          </w:tcPr>
          <w:p>
            <w:pPr>
              <w:pStyle w:val="HeadingConfirm"/>
              <w:tabs>
                <w:tab w:val="clear" w:pos="576"/>
                <w:tab w:val="clear" w:pos="900"/>
              </w:tabs>
              <w:spacing w:before="120" w:after="100"/>
              <w:rPr/>
            </w:pPr>
            <w:r>
              <w:rPr/>
              <w:t>It is the intent of the parties that this Transaction does not give Party A any of the rights that rank senior to a common shareholder of Enron Corp.</w:t>
            </w:r>
          </w:p>
        </w:tc>
      </w:tr>
      <w:tr>
        <w:trPr/>
        <w:tc>
          <w:tcPr>
            <w:tcW w:w="3420" w:type="dxa"/>
            <w:tcBorders/>
          </w:tcPr>
          <w:p>
            <w:pPr>
              <w:pStyle w:val="Normal"/>
              <w:snapToGrid w:val="false"/>
              <w:spacing w:before="100" w:after="0"/>
              <w:ind w:start="360" w:end="0"/>
              <w:rPr/>
            </w:pPr>
            <w:r>
              <w:rPr/>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spacing w:before="120" w:after="0"/>
              <w:ind w:hanging="18" w:end="0"/>
              <w:jc w:val="both"/>
              <w:rPr/>
            </w:pPr>
            <w:r>
              <w:rPr/>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Normal"/>
        <w:ind w:start="3780" w:end="0"/>
        <w:rPr/>
      </w:pPr>
      <w:r>
        <w:rPr/>
      </w:r>
    </w:p>
    <w:p>
      <w:pPr>
        <w:pStyle w:val="Normal"/>
        <w:ind w:start="3780" w:end="0"/>
        <w:rPr/>
      </w:pPr>
      <w:r>
        <w:rPr/>
      </w:r>
    </w:p>
    <w:p>
      <w:pPr>
        <w:pStyle w:val="Normal"/>
        <w:ind w:start="3780" w:end="0"/>
        <w:rPr/>
      </w:pPr>
      <w:r>
        <w:rPr/>
      </w:r>
    </w:p>
    <w:p>
      <w:pPr>
        <w:pStyle w:val="Normal"/>
        <w:numPr>
          <w:ilvl w:val="0"/>
          <w:numId w:val="0"/>
        </w:numPr>
        <w:outlineLvl w:val="0"/>
        <w:rPr>
          <w:color w:val="FF0000"/>
        </w:rPr>
      </w:pPr>
      <w:r>
        <w:rPr>
          <w:color w:val="FF0000"/>
        </w:rPr>
        <w:t>OTHER TERMS:</w:t>
      </w:r>
    </w:p>
    <w:p>
      <w:pPr>
        <w:pStyle w:val="Normal"/>
        <w:rPr>
          <w:color w:val="FF0000"/>
        </w:rPr>
      </w:pPr>
      <w:r>
        <w:rPr>
          <w:color w:val="FF0000"/>
        </w:rPr>
      </w:r>
    </w:p>
    <w:p>
      <w:pPr>
        <w:pStyle w:val="Normal"/>
        <w:ind w:hanging="3600" w:start="3780" w:end="-180"/>
        <w:rPr>
          <w:color w:val="FF0000"/>
        </w:rPr>
      </w:pPr>
      <w:r>
        <w:rPr>
          <w:color w:val="FF0000"/>
        </w:rPr>
        <w:t xml:space="preserve">Calculation Agent:  </w:t>
        <w:tab/>
        <w:t>[                   ] whose determinations and calculations shall be binding in the absence of manifest error.</w:t>
      </w:r>
    </w:p>
    <w:p>
      <w:pPr>
        <w:pStyle w:val="Normal"/>
        <w:rPr>
          <w:color w:val="FF0000"/>
        </w:rPr>
      </w:pPr>
      <w:r>
        <w:rPr>
          <w:color w:val="FF0000"/>
        </w:rPr>
      </w:r>
    </w:p>
    <w:p>
      <w:pPr>
        <w:pStyle w:val="HeadingConfirm"/>
        <w:tabs>
          <w:tab w:val="clear" w:pos="576"/>
          <w:tab w:val="clear" w:pos="900"/>
        </w:tabs>
        <w:spacing w:before="0" w:after="0"/>
        <w:ind w:end="-180"/>
        <w:rPr>
          <w:color w:val="FF0000"/>
        </w:rPr>
      </w:pPr>
      <w:r>
        <w:rPr>
          <w:color w:val="FF0000"/>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color w:val="FF0000"/>
        </w:rPr>
      </w:pPr>
      <w:r>
        <w:rPr>
          <w:color w:val="FF0000"/>
        </w:rPr>
      </w:r>
    </w:p>
    <w:p>
      <w:pPr>
        <w:pStyle w:val="HeadingConfirm"/>
        <w:tabs>
          <w:tab w:val="clear" w:pos="576"/>
          <w:tab w:val="clear" w:pos="900"/>
        </w:tabs>
        <w:spacing w:before="0" w:after="0"/>
        <w:ind w:end="-270"/>
        <w:rPr/>
      </w:pPr>
      <w:r>
        <w:rPr>
          <w:color w:val="FF0000"/>
        </w:rPr>
        <w:t>[Party A agrees to provide the following Credit Support Document:  Guaranty of [</w:t>
      </w:r>
      <w:r>
        <w:rPr/>
        <w:t xml:space="preserve">                                       ] (unconditional guaranty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s>
        <w:ind w:end="-270"/>
        <w:jc w:val="both"/>
        <w:rPr/>
      </w:pPr>
      <w:r>
        <w:rPr/>
        <w:t>Please confirm your agreement with the foregoing by executing this Confirmation and returning it to us at facsimile number 713-646-8517,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pPr>
      <w:r>
        <w:rPr/>
      </w:r>
    </w:p>
    <w:p>
      <w:pPr>
        <w:pStyle w:val="Normal"/>
        <w:keepNext w:val="true"/>
        <w:keepLines/>
        <w:tabs>
          <w:tab w:val="clear" w:pos="720"/>
          <w:tab w:val="left" w:pos="851" w:leader="none"/>
          <w:tab w:val="left" w:pos="1008" w:leader="none"/>
          <w:tab w:val="left" w:pos="4860" w:leader="none"/>
        </w:tabs>
        <w:rPr>
          <w:b/>
        </w:rPr>
      </w:pPr>
      <w:r>
        <w:rPr>
          <w:b/>
        </w:rPr>
        <w:t xml:space="preserve">[______________________________] </w:t>
        <w:tab/>
        <w:t>Enron Corp.</w:t>
      </w:r>
    </w:p>
    <w:p>
      <w:pPr>
        <w:pStyle w:val="Normal"/>
        <w:keepNext w:val="true"/>
        <w:keepLines/>
        <w:tabs>
          <w:tab w:val="clear" w:pos="720"/>
          <w:tab w:val="left" w:pos="851" w:leader="none"/>
        </w:tabs>
        <w:rPr>
          <w:b/>
        </w:rPr>
      </w:pPr>
      <w:r>
        <w:rPr>
          <w:b/>
        </w:rPr>
      </w:r>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tc>
          <w:tcPr>
            <w:tcW w:w="4248" w:type="dxa"/>
            <w:tcBorders/>
          </w:tcPr>
          <w:p>
            <w:pPr>
              <w:pStyle w:val="Normal"/>
              <w:keepNext w:val="true"/>
              <w:keepLines/>
              <w:tabs>
                <w:tab w:val="clear" w:pos="720"/>
                <w:tab w:val="left" w:pos="851" w:leader="none"/>
              </w:tabs>
              <w:snapToGrid w:val="false"/>
              <w:rPr/>
            </w:pPr>
            <w:r>
              <w:rPr/>
            </w:r>
            <w:bookmarkStart w:id="0" w:name="sig_generic_01"/>
            <w:bookmarkStart w:id="1" w:name="sig_generic_01"/>
            <w:bookmarkEnd w:id="1"/>
          </w:p>
          <w:p>
            <w:pPr>
              <w:pStyle w:val="Normal"/>
              <w:keepNext w:val="true"/>
              <w:keepLines/>
              <w:tabs>
                <w:tab w:val="clear" w:pos="720"/>
                <w:tab w:val="left" w:pos="851" w:leader="none"/>
              </w:tabs>
              <w:rPr/>
            </w:pPr>
            <w:r>
              <w:rPr/>
              <w:t>By:    __________________________________</w:t>
            </w:r>
          </w:p>
          <w:p>
            <w:pPr>
              <w:pStyle w:val="Normal"/>
              <w:keepNext w:val="true"/>
              <w:keepLines/>
              <w:tabs>
                <w:tab w:val="clear" w:pos="720"/>
                <w:tab w:val="left" w:pos="851" w:leader="none"/>
              </w:tabs>
              <w:rPr/>
            </w:pPr>
            <w:r>
              <w:rPr/>
              <w:t>Name: _________________________________</w:t>
            </w:r>
          </w:p>
          <w:p>
            <w:pPr>
              <w:pStyle w:val="Normal"/>
              <w:keepNext w:val="true"/>
              <w:keepLines/>
              <w:tabs>
                <w:tab w:val="clear" w:pos="720"/>
                <w:tab w:val="left" w:pos="851" w:leader="none"/>
              </w:tabs>
              <w:rPr/>
            </w:pPr>
            <w:r>
              <w:rPr/>
              <w:t>Title: __________________________________</w:t>
            </w:r>
          </w:p>
        </w:tc>
        <w:tc>
          <w:tcPr>
            <w:tcW w:w="5490" w:type="dxa"/>
            <w:gridSpan w:val="2"/>
            <w:tcBorders/>
          </w:tcPr>
          <w:p>
            <w:pPr>
              <w:pStyle w:val="Normal"/>
              <w:keepNext w:val="true"/>
              <w:keepLines/>
              <w:tabs>
                <w:tab w:val="clear" w:pos="720"/>
                <w:tab w:val="left" w:pos="851" w:leader="none"/>
              </w:tabs>
              <w:snapToGrid w:val="false"/>
              <w:rPr/>
            </w:pPr>
            <w:r>
              <w:rPr/>
            </w:r>
          </w:p>
          <w:p>
            <w:pPr>
              <w:pStyle w:val="Normal"/>
              <w:keepNext w:val="true"/>
              <w:keepLines/>
              <w:tabs>
                <w:tab w:val="clear" w:pos="720"/>
                <w:tab w:val="left" w:pos="851" w:leader="none"/>
              </w:tabs>
              <w:ind w:firstLine="612" w:end="0"/>
              <w:rPr/>
            </w:pPr>
            <w:r>
              <w:rPr/>
              <w:t>By:    _________________________________________</w:t>
            </w:r>
          </w:p>
          <w:p>
            <w:pPr>
              <w:pStyle w:val="Normal"/>
              <w:keepNext w:val="true"/>
              <w:keepLines/>
              <w:tabs>
                <w:tab w:val="clear" w:pos="720"/>
                <w:tab w:val="left" w:pos="851" w:leader="none"/>
              </w:tabs>
              <w:ind w:firstLine="612" w:end="0"/>
              <w:rPr/>
            </w:pPr>
            <w:r>
              <w:rPr/>
              <w:t>Name:_________________________________________</w:t>
            </w:r>
          </w:p>
          <w:p>
            <w:pPr>
              <w:pStyle w:val="Normal"/>
              <w:keepNext w:val="true"/>
              <w:keepLines/>
              <w:tabs>
                <w:tab w:val="clear" w:pos="720"/>
                <w:tab w:val="left" w:pos="851" w:leader="none"/>
              </w:tabs>
              <w:ind w:firstLine="612" w:end="0"/>
              <w:rPr/>
            </w:pPr>
            <w:r>
              <w:rPr/>
              <w:t>Title:  _________________________________________</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c>
          <w:tcPr>
            <w:tcW w:w="1170" w:type="dxa"/>
            <w:tcBorders/>
            <w:tcMar>
              <w:start w:w="0" w:type="dxa"/>
              <w:end w:w="0" w:type="dxa"/>
            </w:tcMar>
          </w:tcPr>
          <w:p>
            <w:pPr>
              <w:pStyle w:val="Normal"/>
              <w:snapToGrid w:val="false"/>
              <w:rPr/>
            </w:pPr>
            <w:r>
              <w:rPr/>
            </w:r>
          </w:p>
        </w:tc>
      </w:tr>
    </w:tbl>
    <w:p>
      <w:pPr>
        <w:pStyle w:val="Normal"/>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p>
    <w:p>
      <w:pPr>
        <w:pStyle w:val="Normal"/>
        <w:keepNext w:val="true"/>
        <w:keepLines/>
        <w:tabs>
          <w:tab w:val="clear" w:pos="720"/>
          <w:tab w:val="left" w:pos="851" w:leader="none"/>
          <w:tab w:val="left" w:pos="1008" w:leader="none"/>
          <w:tab w:val="left" w:pos="4500" w:leader="none"/>
        </w:tabs>
        <w:rPr>
          <w:rStyle w:val="VEDocumentInformation"/>
        </w:rPr>
      </w:pPr>
      <w:r>
        <w:rPr>
          <w:rStyle w:val="VEDocumentInformation"/>
        </w:rPr>
        <w:t xml:space="preserve">AUS: </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BS_NY11062.doc</w:t>
      </w:r>
      <w:r>
        <w:rPr>
          <w:rStyle w:val="VEDocumentInformation"/>
        </w:rPr>
        <w:fldChar w:fldCharType="end"/>
      </w:r>
    </w:p>
    <w:p>
      <w:pPr>
        <w:pStyle w:val="Normal"/>
        <w:rPr>
          <w:rStyle w:val="VEDocumentInformation"/>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/mnt/main-storage/datasets/enron-docs/doc/BS_NY11062.doc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[ENRON CORP. LETTERHEAD]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2000-12-15T20:51:00Z</dcterms:created>
  <dc:creator>SYSTEM</dc:creator>
  <dc:description/>
  <dc:language>en-CA</dc:language>
  <cp:lastModifiedBy>Jeff Nogid</cp:lastModifiedBy>
  <cp:lastPrinted>2000-12-07T10:18:00Z</cp:lastPrinted>
  <dcterms:modified xsi:type="dcterms:W3CDTF">2000-12-20T13:00:00Z</dcterms:modified>
  <cp:revision>4</cp:revision>
  <dc:subject/>
  <dc:title>23 February, 1999</dc:title>
</cp:coreProperties>
</file>