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0935" cy="11334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0935" cy="113347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rFonts w:ascii="Times New Roman" w:hAnsi="Times New Roman" w:cs="Times New Roman"/>
          <w:sz w:val="22"/>
        </w:rPr>
      </w:pPr>
      <w:r>
        <w:rPr>
          <w:rFonts w:cs="Times New Roman" w:ascii="Times New Roman" w:hAnsi="Times New Roman"/>
          <w:sz w:val="22"/>
        </w:rPr>
      </w:r>
    </w:p>
    <w:tbl>
      <w:tblPr>
        <w:tblW w:w="10398" w:type="dxa"/>
        <w:jc w:val="start"/>
        <w:tblInd w:w="200" w:type="dxa"/>
        <w:tblLayout w:type="fixed"/>
        <w:tblCellMar>
          <w:top w:w="0" w:type="dxa"/>
          <w:start w:w="108" w:type="dxa"/>
          <w:bottom w:w="0" w:type="dxa"/>
          <w:end w:w="108" w:type="dxa"/>
        </w:tblCellMar>
      </w:tblPr>
      <w:tblGrid>
        <w:gridCol w:w="1258"/>
        <w:gridCol w:w="5040"/>
        <w:gridCol w:w="1530"/>
        <w:gridCol w:w="2570"/>
      </w:tblGrid>
      <w:tr>
        <w:trPr>
          <w:trHeight w:val="1665" w:hRule="exact"/>
        </w:trPr>
        <w:tc>
          <w:tcPr>
            <w:tcW w:w="1258" w:type="dxa"/>
            <w:tcBorders/>
          </w:tcPr>
          <w:p>
            <w:pPr>
              <w:pStyle w:val="Normal"/>
              <w:ind w:start="-180" w:end="0"/>
              <w:jc w:val="end"/>
              <w:rPr>
                <w:rFonts w:ascii="Times New Roman" w:hAnsi="Times New Roman" w:cs="Times New Roman"/>
                <w:sz w:val="22"/>
              </w:rPr>
            </w:pPr>
            <w:r>
              <w:rPr>
                <w:rFonts w:cs="Times New Roman" w:ascii="Times New Roman" w:hAnsi="Times New Roman"/>
                <w:sz w:val="22"/>
              </w:rPr>
              <w:t>To:</w:t>
            </w:r>
          </w:p>
        </w:tc>
        <w:tc>
          <w:tcPr>
            <w:tcW w:w="5040" w:type="dxa"/>
            <w:tcBorders/>
          </w:tcPr>
          <w:p>
            <w:pPr>
              <w:pStyle w:val="To"/>
              <w:rPr>
                <w:rFonts w:ascii="Times New Roman" w:hAnsi="Times New Roman" w:cs="Times New Roman"/>
                <w:sz w:val="22"/>
              </w:rPr>
            </w:pPr>
            <w:r>
              <w:rPr>
                <w:rFonts w:cs="Times New Roman" w:ascii="Times New Roman" w:hAnsi="Times New Roman"/>
                <w:sz w:val="22"/>
              </w:rPr>
              <w:t>The Officers of:</w:t>
            </w:r>
          </w:p>
          <w:p>
            <w:pPr>
              <w:pStyle w:val="To"/>
              <w:rPr>
                <w:rFonts w:ascii="Times New Roman" w:hAnsi="Times New Roman" w:cs="Times New Roman"/>
                <w:sz w:val="22"/>
              </w:rPr>
            </w:pPr>
            <w:r>
              <w:rPr>
                <w:rFonts w:cs="Times New Roman" w:ascii="Times New Roman" w:hAnsi="Times New Roman"/>
                <w:sz w:val="22"/>
              </w:rPr>
              <w:t>Enron Credit Limited</w:t>
            </w:r>
          </w:p>
          <w:p>
            <w:pPr>
              <w:pStyle w:val="To"/>
              <w:rPr>
                <w:rFonts w:ascii="Times New Roman" w:hAnsi="Times New Roman" w:cs="Times New Roman"/>
                <w:sz w:val="22"/>
              </w:rPr>
            </w:pPr>
            <w:r>
              <w:rPr>
                <w:rFonts w:cs="Times New Roman" w:ascii="Times New Roman" w:hAnsi="Times New Roman"/>
                <w:sz w:val="22"/>
              </w:rPr>
              <w:t xml:space="preserve">Enron Credit Inc. </w:t>
            </w:r>
          </w:p>
          <w:p>
            <w:pPr>
              <w:pStyle w:val="To"/>
              <w:rPr>
                <w:rFonts w:ascii="Times New Roman" w:hAnsi="Times New Roman" w:cs="Times New Roman"/>
                <w:sz w:val="22"/>
              </w:rPr>
            </w:pPr>
            <w:r>
              <w:rPr>
                <w:rFonts w:cs="Times New Roman" w:ascii="Times New Roman" w:hAnsi="Times New Roman"/>
                <w:sz w:val="22"/>
              </w:rPr>
              <w:t xml:space="preserve">ECT Europe Finance Inc. </w:t>
            </w:r>
          </w:p>
          <w:p>
            <w:pPr>
              <w:pStyle w:val="To"/>
              <w:rPr>
                <w:rFonts w:ascii="Times New Roman" w:hAnsi="Times New Roman" w:cs="Times New Roman"/>
                <w:sz w:val="22"/>
              </w:rPr>
            </w:pPr>
            <w:r>
              <w:rPr>
                <w:rFonts w:cs="Times New Roman" w:ascii="Times New Roman" w:hAnsi="Times New Roman"/>
                <w:sz w:val="22"/>
              </w:rPr>
              <w:t xml:space="preserve">ECT Investments Inc. </w:t>
            </w:r>
          </w:p>
          <w:p>
            <w:pPr>
              <w:pStyle w:val="To"/>
              <w:rPr>
                <w:rFonts w:ascii="Times New Roman" w:hAnsi="Times New Roman" w:cs="Times New Roman"/>
                <w:sz w:val="22"/>
              </w:rPr>
            </w:pPr>
            <w:r>
              <w:rPr>
                <w:rFonts w:cs="Times New Roman" w:ascii="Times New Roman" w:hAnsi="Times New Roman"/>
                <w:sz w:val="22"/>
              </w:rPr>
            </w:r>
          </w:p>
        </w:tc>
        <w:tc>
          <w:tcPr>
            <w:tcW w:w="1530"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57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216" w:hRule="exact"/>
        </w:trPr>
        <w:tc>
          <w:tcPr>
            <w:tcW w:w="1258" w:type="dxa"/>
            <w:tcBorders/>
          </w:tcPr>
          <w:p>
            <w:pPr>
              <w:pStyle w:val="Normal"/>
              <w:snapToGrid w:val="false"/>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530"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57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300" w:hRule="exact"/>
        </w:trPr>
        <w:tc>
          <w:tcPr>
            <w:tcW w:w="1258" w:type="dxa"/>
            <w:tcBorders/>
          </w:tcPr>
          <w:p>
            <w:pPr>
              <w:pStyle w:val="Normal"/>
              <w:jc w:val="end"/>
              <w:rPr>
                <w:rFonts w:ascii="Times New Roman" w:hAnsi="Times New Roman" w:cs="Times New Roman"/>
                <w:sz w:val="22"/>
              </w:rPr>
            </w:pPr>
            <w:r>
              <w:rPr>
                <w:rFonts w:cs="Times New Roman" w:ascii="Times New Roman" w:hAnsi="Times New Roman"/>
                <w:sz w:val="22"/>
              </w:rPr>
              <w:t>From:</w:t>
            </w:r>
          </w:p>
        </w:tc>
        <w:tc>
          <w:tcPr>
            <w:tcW w:w="5040" w:type="dxa"/>
            <w:tcBorders/>
          </w:tcPr>
          <w:p>
            <w:pPr>
              <w:pStyle w:val="From"/>
              <w:rPr>
                <w:rFonts w:ascii="Times New Roman" w:hAnsi="Times New Roman" w:cs="Times New Roman"/>
                <w:sz w:val="22"/>
              </w:rPr>
            </w:pPr>
            <w:r>
              <w:rPr>
                <w:rFonts w:cs="Times New Roman" w:ascii="Times New Roman" w:hAnsi="Times New Roman"/>
                <w:sz w:val="22"/>
              </w:rPr>
              <w:t>Bryan Seyfried</w:t>
            </w:r>
          </w:p>
        </w:tc>
        <w:tc>
          <w:tcPr>
            <w:tcW w:w="1530" w:type="dxa"/>
            <w:tcBorders/>
          </w:tcPr>
          <w:p>
            <w:pPr>
              <w:pStyle w:val="Normal"/>
              <w:ind w:start="-180" w:end="0"/>
              <w:jc w:val="end"/>
              <w:rPr>
                <w:rFonts w:ascii="Times New Roman" w:hAnsi="Times New Roman" w:cs="Times New Roman"/>
                <w:sz w:val="22"/>
              </w:rPr>
            </w:pPr>
            <w:r>
              <w:rPr>
                <w:rFonts w:cs="Times New Roman" w:ascii="Times New Roman" w:hAnsi="Times New Roman"/>
                <w:sz w:val="22"/>
              </w:rPr>
              <w:t>Department:</w:t>
            </w:r>
          </w:p>
        </w:tc>
        <w:tc>
          <w:tcPr>
            <w:tcW w:w="2570" w:type="dxa"/>
            <w:tcBorders/>
          </w:tcPr>
          <w:p>
            <w:pPr>
              <w:pStyle w:val="Department"/>
              <w:rPr>
                <w:rFonts w:ascii="Times New Roman" w:hAnsi="Times New Roman" w:cs="Times New Roman"/>
                <w:sz w:val="22"/>
              </w:rPr>
            </w:pPr>
            <w:bookmarkStart w:id="0" w:name="From"/>
            <w:bookmarkEnd w:id="0"/>
            <w:r>
              <w:rPr>
                <w:rFonts w:cs="Times New Roman" w:ascii="Times New Roman" w:hAnsi="Times New Roman"/>
                <w:sz w:val="22"/>
              </w:rPr>
              <w:t>Enron Credit</w:t>
            </w:r>
          </w:p>
        </w:tc>
      </w:tr>
      <w:tr>
        <w:trPr>
          <w:trHeight w:val="216" w:hRule="exact"/>
        </w:trPr>
        <w:tc>
          <w:tcPr>
            <w:tcW w:w="1258"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c>
          <w:tcPr>
            <w:tcW w:w="1530" w:type="dxa"/>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257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612" w:hRule="exact"/>
        </w:trPr>
        <w:tc>
          <w:tcPr>
            <w:tcW w:w="1258" w:type="dxa"/>
            <w:tcBorders/>
          </w:tcPr>
          <w:p>
            <w:pPr>
              <w:pStyle w:val="Normal"/>
              <w:ind w:start="-180" w:end="0"/>
              <w:jc w:val="end"/>
              <w:rPr>
                <w:rFonts w:ascii="Times New Roman" w:hAnsi="Times New Roman" w:cs="Times New Roman"/>
                <w:sz w:val="22"/>
              </w:rPr>
            </w:pPr>
            <w:r>
              <w:rPr>
                <w:rFonts w:cs="Times New Roman" w:ascii="Times New Roman" w:hAnsi="Times New Roman"/>
                <w:sz w:val="22"/>
              </w:rPr>
              <w:t>Subject:</w:t>
            </w:r>
          </w:p>
        </w:tc>
        <w:tc>
          <w:tcPr>
            <w:tcW w:w="5040" w:type="dxa"/>
            <w:tcBorders/>
          </w:tcPr>
          <w:p>
            <w:pPr>
              <w:pStyle w:val="Subject"/>
              <w:rPr>
                <w:rFonts w:ascii="Times New Roman" w:hAnsi="Times New Roman" w:cs="Times New Roman"/>
                <w:b/>
                <w:sz w:val="22"/>
              </w:rPr>
            </w:pPr>
            <w:r>
              <w:rPr>
                <w:rFonts w:cs="Times New Roman" w:ascii="Times New Roman" w:hAnsi="Times New Roman"/>
                <w:b/>
                <w:sz w:val="22"/>
              </w:rPr>
              <w:t>Bear Stearns and Enron Credit</w:t>
            </w:r>
          </w:p>
        </w:tc>
        <w:tc>
          <w:tcPr>
            <w:tcW w:w="1530" w:type="dxa"/>
            <w:tcBorders/>
          </w:tcPr>
          <w:p>
            <w:pPr>
              <w:pStyle w:val="Normal"/>
              <w:ind w:start="-180" w:end="0"/>
              <w:jc w:val="end"/>
              <w:rPr>
                <w:rFonts w:ascii="Times New Roman" w:hAnsi="Times New Roman" w:cs="Times New Roman"/>
                <w:sz w:val="22"/>
              </w:rPr>
            </w:pPr>
            <w:r>
              <w:rPr>
                <w:rFonts w:cs="Times New Roman" w:ascii="Times New Roman" w:hAnsi="Times New Roman"/>
                <w:sz w:val="22"/>
              </w:rPr>
              <w:t>Date:</w:t>
            </w:r>
          </w:p>
        </w:tc>
        <w:tc>
          <w:tcPr>
            <w:tcW w:w="2570" w:type="dxa"/>
            <w:tcBorders/>
          </w:tcPr>
          <w:p>
            <w:pPr>
              <w:pStyle w:val="Date"/>
              <w:rPr>
                <w:rFonts w:ascii="Times New Roman" w:hAnsi="Times New Roman" w:cs="Times New Roman"/>
                <w:sz w:val="22"/>
              </w:rPr>
            </w:pPr>
            <w:r>
              <w:rPr>
                <w:rFonts w:cs="Times New Roman" w:ascii="Times New Roman" w:hAnsi="Times New Roman"/>
                <w:sz w:val="22"/>
              </w:rPr>
              <w:t>13 December 2001</w:t>
            </w:r>
          </w:p>
        </w:tc>
      </w:tr>
      <w:tr>
        <w:trPr>
          <w:trHeight w:val="80" w:hRule="exact"/>
        </w:trPr>
        <w:tc>
          <w:tcPr>
            <w:tcW w:w="1258" w:type="dxa"/>
            <w:tcBorders>
              <w:bottom w:val="single" w:sz="12" w:space="0" w:color="000000"/>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040" w:type="dxa"/>
            <w:tcBorders>
              <w:bottom w:val="single" w:sz="12" w:space="0" w:color="000000"/>
            </w:tcBorders>
          </w:tcPr>
          <w:p>
            <w:pPr>
              <w:pStyle w:val="Subject"/>
              <w:snapToGrid w:val="false"/>
              <w:rPr>
                <w:rFonts w:ascii="Times New Roman" w:hAnsi="Times New Roman" w:cs="Times New Roman"/>
                <w:b/>
                <w:sz w:val="22"/>
              </w:rPr>
            </w:pPr>
            <w:r>
              <w:rPr>
                <w:rFonts w:cs="Times New Roman" w:ascii="Times New Roman" w:hAnsi="Times New Roman"/>
                <w:b/>
                <w:sz w:val="22"/>
              </w:rPr>
            </w:r>
          </w:p>
        </w:tc>
        <w:tc>
          <w:tcPr>
            <w:tcW w:w="1530" w:type="dxa"/>
            <w:tcBorders>
              <w:bottom w:val="single" w:sz="12" w:space="0" w:color="000000"/>
            </w:tcBorders>
          </w:tcPr>
          <w:p>
            <w:pPr>
              <w:pStyle w:val="Normal"/>
              <w:snapToGrid w:val="false"/>
              <w:ind w:start="-180" w:end="0"/>
              <w:jc w:val="end"/>
              <w:rPr>
                <w:rFonts w:ascii="Times New Roman" w:hAnsi="Times New Roman" w:cs="Times New Roman"/>
                <w:b/>
                <w:sz w:val="22"/>
              </w:rPr>
            </w:pPr>
            <w:r>
              <w:rPr>
                <w:rFonts w:cs="Times New Roman" w:ascii="Times New Roman" w:hAnsi="Times New Roman"/>
                <w:b/>
                <w:sz w:val="22"/>
              </w:rPr>
            </w:r>
          </w:p>
        </w:tc>
        <w:tc>
          <w:tcPr>
            <w:tcW w:w="2570" w:type="dxa"/>
            <w:tcBorders>
              <w:bottom w:val="single" w:sz="12" w:space="0" w:color="000000"/>
            </w:tcBorders>
          </w:tcPr>
          <w:p>
            <w:pPr>
              <w:pStyle w:val="Date"/>
              <w:snapToGrid w:val="false"/>
              <w:rPr>
                <w:rFonts w:ascii="Times New Roman" w:hAnsi="Times New Roman" w:cs="Times New Roman"/>
                <w:sz w:val="22"/>
              </w:rPr>
            </w:pPr>
            <w:r>
              <w:rPr>
                <w:rFonts w:cs="Times New Roman" w:ascii="Times New Roman" w:hAnsi="Times New Roman"/>
                <w:sz w:val="22"/>
              </w:rPr>
            </w:r>
          </w:p>
        </w:tc>
      </w:tr>
    </w:tbl>
    <w:p>
      <w:pPr>
        <w:pStyle w:val="Body"/>
        <w:rPr>
          <w:rFonts w:ascii="Times New Roman" w:hAnsi="Times New Roman" w:cs="Times New Roman"/>
          <w:sz w:val="22"/>
        </w:rPr>
      </w:pPr>
      <w:r>
        <w:rPr>
          <w:rFonts w:cs="Times New Roman" w:ascii="Times New Roman" w:hAnsi="Times New Roman"/>
          <w:sz w:val="22"/>
        </w:rPr>
      </w:r>
      <w:bookmarkStart w:id="1" w:name="StartOfMemo"/>
      <w:bookmarkStart w:id="2" w:name="StartOfMemo"/>
      <w:bookmarkEnd w:id="2"/>
    </w:p>
    <w:p>
      <w:pPr>
        <w:pStyle w:val="Body"/>
        <w:jc w:val="both"/>
        <w:rPr>
          <w:rFonts w:ascii="Times New Roman" w:hAnsi="Times New Roman" w:cs="Times New Roman"/>
          <w:sz w:val="22"/>
        </w:rPr>
      </w:pPr>
      <w:r>
        <w:rPr>
          <w:rFonts w:cs="Times New Roman" w:ascii="Times New Roman" w:hAnsi="Times New Roman"/>
          <w:sz w:val="22"/>
        </w:rPr>
        <w:t>This memo sets out the current issues and proposed next steps regarding exposures between certain Enron entities and certain Bear Stearns entities.</w:t>
      </w:r>
    </w:p>
    <w:p>
      <w:pPr>
        <w:pStyle w:val="Body"/>
        <w:jc w:val="both"/>
        <w:rPr>
          <w:rFonts w:ascii="Times New Roman" w:hAnsi="Times New Roman" w:cs="Times New Roman"/>
          <w:sz w:val="22"/>
        </w:rPr>
      </w:pPr>
      <w:r>
        <w:rPr>
          <w:rFonts w:cs="Times New Roman" w:ascii="Times New Roman" w:hAnsi="Times New Roman"/>
          <w:sz w:val="22"/>
        </w:rPr>
      </w:r>
    </w:p>
    <w:p>
      <w:pPr>
        <w:pStyle w:val="Body"/>
        <w:jc w:val="both"/>
        <w:rPr>
          <w:rFonts w:ascii="Times New Roman" w:hAnsi="Times New Roman" w:cs="Times New Roman"/>
          <w:sz w:val="22"/>
        </w:rPr>
      </w:pPr>
      <w:r>
        <w:rPr>
          <w:rFonts w:cs="Times New Roman" w:ascii="Times New Roman" w:hAnsi="Times New Roman"/>
          <w:sz w:val="22"/>
        </w:rPr>
        <w:t>The Enron entities concerned are: Enron Credit Limited (“ECL”), Enron Credit Inc. (“ECI”), ECT Europe Finance Inc. (“ECTEF”) and ECT Investments Inc. (“ECTI”).</w:t>
      </w:r>
    </w:p>
    <w:p>
      <w:pPr>
        <w:pStyle w:val="Body"/>
        <w:jc w:val="both"/>
        <w:rPr>
          <w:rFonts w:ascii="Times New Roman" w:hAnsi="Times New Roman" w:cs="Times New Roman"/>
          <w:sz w:val="22"/>
        </w:rPr>
      </w:pPr>
      <w:r>
        <w:rPr>
          <w:rFonts w:cs="Times New Roman" w:ascii="Times New Roman" w:hAnsi="Times New Roman"/>
          <w:sz w:val="22"/>
        </w:rPr>
      </w:r>
    </w:p>
    <w:p>
      <w:pPr>
        <w:pStyle w:val="Body"/>
        <w:jc w:val="both"/>
        <w:rPr>
          <w:rFonts w:ascii="Times New Roman" w:hAnsi="Times New Roman" w:cs="Times New Roman"/>
          <w:sz w:val="22"/>
        </w:rPr>
      </w:pPr>
      <w:r>
        <w:rPr>
          <w:rFonts w:cs="Times New Roman" w:ascii="Times New Roman" w:hAnsi="Times New Roman"/>
          <w:sz w:val="22"/>
        </w:rPr>
        <w:t>The Bear Stearns entities concerned are: The Bear Stearns Companies Inc., Bear Stearns International Limited (“BSIL”), Bear Stearns &amp; Co. Inc., Bear Stearns Capital Markets Inc., and Bear Stearns Securities Corp.</w:t>
      </w:r>
    </w:p>
    <w:p>
      <w:pPr>
        <w:pStyle w:val="Body"/>
        <w:jc w:val="both"/>
        <w:rPr>
          <w:rFonts w:ascii="Times New Roman" w:hAnsi="Times New Roman" w:cs="Times New Roman"/>
          <w:sz w:val="22"/>
        </w:rPr>
      </w:pPr>
      <w:r>
        <w:rPr>
          <w:rFonts w:cs="Times New Roman" w:ascii="Times New Roman" w:hAnsi="Times New Roman"/>
          <w:sz w:val="22"/>
        </w:rPr>
      </w:r>
    </w:p>
    <w:p>
      <w:pPr>
        <w:pStyle w:val="Body"/>
        <w:ind w:start="0" w:end="0"/>
        <w:jc w:val="both"/>
        <w:rPr>
          <w:rFonts w:ascii="Times New Roman" w:hAnsi="Times New Roman" w:cs="Times New Roman"/>
          <w:sz w:val="22"/>
        </w:rPr>
      </w:pPr>
      <w:r>
        <w:rPr>
          <w:rFonts w:cs="Times New Roman" w:ascii="Times New Roman" w:hAnsi="Times New Roman"/>
          <w:sz w:val="22"/>
        </w:rPr>
        <w:t>Bear Stearns have sent Enron two documents to sign: 1. letter of authorization, and 2. Waiver and Release document.</w:t>
      </w:r>
    </w:p>
    <w:p>
      <w:pPr>
        <w:pStyle w:val="Body"/>
        <w:ind w:start="0" w:end="0"/>
        <w:jc w:val="both"/>
        <w:rPr>
          <w:rFonts w:ascii="Times New Roman" w:hAnsi="Times New Roman" w:cs="Times New Roman"/>
          <w:sz w:val="22"/>
        </w:rPr>
      </w:pPr>
      <w:r>
        <w:rPr>
          <w:rFonts w:cs="Times New Roman" w:ascii="Times New Roman" w:hAnsi="Times New Roman"/>
          <w:sz w:val="22"/>
        </w:rPr>
      </w:r>
    </w:p>
    <w:p>
      <w:pPr>
        <w:pStyle w:val="Body"/>
        <w:ind w:start="0" w:end="0"/>
        <w:jc w:val="both"/>
        <w:rPr>
          <w:rFonts w:ascii="Times New Roman" w:hAnsi="Times New Roman" w:cs="Times New Roman"/>
          <w:sz w:val="22"/>
        </w:rPr>
      </w:pPr>
      <w:r>
        <w:rPr>
          <w:rFonts w:cs="Times New Roman" w:ascii="Times New Roman" w:hAnsi="Times New Roman"/>
          <w:sz w:val="22"/>
        </w:rPr>
        <w:t xml:space="preserve">The letter of authorization seeks ratification of: </w:t>
      </w:r>
    </w:p>
    <w:p>
      <w:pPr>
        <w:pStyle w:val="Body"/>
        <w:numPr>
          <w:ilvl w:val="0"/>
          <w:numId w:val="2"/>
        </w:numPr>
        <w:tabs>
          <w:tab w:val="left" w:pos="450" w:leader="none"/>
        </w:tabs>
        <w:ind w:hanging="450" w:start="450" w:end="0"/>
        <w:jc w:val="both"/>
        <w:rPr>
          <w:rFonts w:ascii="Times New Roman" w:hAnsi="Times New Roman" w:cs="Times New Roman"/>
          <w:sz w:val="22"/>
        </w:rPr>
      </w:pPr>
      <w:r>
        <w:rPr>
          <w:rFonts w:cs="Times New Roman" w:ascii="Times New Roman" w:hAnsi="Times New Roman"/>
          <w:sz w:val="22"/>
        </w:rPr>
        <w:t xml:space="preserve">liquidation of USD 17mm face value of Anker Coal bonds and stock which was held in ECTEF.  These positions were liquidated at 24.5%.  The value realized for this position is a fair value considering all the circumstances (viz. illiquid securities, liquidating as a distressed seller). </w:t>
      </w:r>
    </w:p>
    <w:p>
      <w:pPr>
        <w:pStyle w:val="Body"/>
        <w:numPr>
          <w:ilvl w:val="0"/>
          <w:numId w:val="2"/>
        </w:numPr>
        <w:ind w:hanging="450" w:start="450" w:end="0"/>
        <w:jc w:val="both"/>
        <w:rPr>
          <w:rFonts w:ascii="Times New Roman" w:hAnsi="Times New Roman" w:cs="Times New Roman"/>
          <w:sz w:val="22"/>
        </w:rPr>
      </w:pPr>
      <w:r>
        <w:rPr>
          <w:rFonts w:cs="Times New Roman" w:ascii="Times New Roman" w:hAnsi="Times New Roman"/>
          <w:sz w:val="22"/>
        </w:rPr>
        <w:t>liquidation of USD 650,000 of Loral bonds.  This position has yet to be liquidated.  The best price is currently about 51%.  We are looking at one other buyer who may be able to bid a few points higher.</w:t>
      </w:r>
    </w:p>
    <w:p>
      <w:pPr>
        <w:pStyle w:val="Body"/>
        <w:numPr>
          <w:ilvl w:val="0"/>
          <w:numId w:val="2"/>
        </w:numPr>
        <w:ind w:hanging="450" w:start="450" w:end="0"/>
        <w:jc w:val="both"/>
        <w:rPr>
          <w:rFonts w:ascii="Times New Roman" w:hAnsi="Times New Roman" w:cs="Times New Roman"/>
          <w:sz w:val="22"/>
        </w:rPr>
      </w:pPr>
      <w:r>
        <w:rPr>
          <w:rFonts w:cs="Times New Roman" w:ascii="Times New Roman" w:hAnsi="Times New Roman"/>
          <w:sz w:val="22"/>
        </w:rPr>
        <w:t>Transfer of USD 1,503,287.00 from ECI to ECL applying that amount to set off ECL’s liabilities to BSIL in respect of its terminated credit default swap positions.  We have discussed this issue with PricewaterhouseCoopers in their capacity of administrators of our principal creditors and shareholders and they have no issues with this set-off.  I have also taken advice from our internal lawyer and we are comfortable that we can go ahead on the basis that none of the entities involved are subject to insolvency proceedings and that we can honour the cross-affiliate set-off clause in the master agreement between ECL and BSIL.</w:t>
      </w:r>
    </w:p>
    <w:p>
      <w:pPr>
        <w:pStyle w:val="Body"/>
        <w:jc w:val="both"/>
        <w:rPr>
          <w:rFonts w:ascii="Times New Roman" w:hAnsi="Times New Roman" w:cs="Times New Roman"/>
          <w:sz w:val="22"/>
        </w:rPr>
      </w:pPr>
      <w:r>
        <w:rPr>
          <w:rFonts w:cs="Times New Roman" w:ascii="Times New Roman" w:hAnsi="Times New Roman"/>
          <w:sz w:val="22"/>
        </w:rPr>
      </w:r>
    </w:p>
    <w:p>
      <w:pPr>
        <w:pStyle w:val="Body"/>
        <w:jc w:val="both"/>
        <w:rPr>
          <w:rFonts w:ascii="Times New Roman" w:hAnsi="Times New Roman" w:cs="Times New Roman"/>
          <w:sz w:val="22"/>
        </w:rPr>
      </w:pPr>
      <w:r>
        <w:rPr>
          <w:rFonts w:cs="Times New Roman" w:ascii="Times New Roman" w:hAnsi="Times New Roman"/>
          <w:sz w:val="22"/>
        </w:rPr>
        <w:t>The Waiver and Release document seeks to release the Bear companies from claims that the Enron entities may have against the Bear Companies.  We have considered the amounts owing between all the Enron entities and all the Bear entities (as set out below) and conclude that this document is acceptable subject to Bear agreeing to transfer the monies owing to each Enron entitiy.</w:t>
      </w:r>
    </w:p>
    <w:p>
      <w:pPr>
        <w:pStyle w:val="Body"/>
        <w:jc w:val="both"/>
        <w:rPr>
          <w:rFonts w:ascii="Times New Roman" w:hAnsi="Times New Roman" w:cs="Times New Roman"/>
          <w:sz w:val="22"/>
        </w:rPr>
      </w:pPr>
      <w:r>
        <w:rPr>
          <w:rFonts w:cs="Times New Roman" w:ascii="Times New Roman" w:hAnsi="Times New Roman"/>
          <w:sz w:val="22"/>
        </w:rPr>
      </w:r>
    </w:p>
    <w:p>
      <w:pPr>
        <w:pStyle w:val="Body"/>
        <w:jc w:val="both"/>
        <w:rPr>
          <w:rFonts w:ascii="Times New Roman" w:hAnsi="Times New Roman" w:cs="Times New Roman"/>
          <w:sz w:val="22"/>
        </w:rPr>
      </w:pPr>
      <w:r>
        <w:rPr>
          <w:rFonts w:cs="Times New Roman" w:ascii="Times New Roman" w:hAnsi="Times New Roman"/>
          <w:sz w:val="22"/>
        </w:rPr>
        <w:t>The amounts owed/owing between ECI, ECTEF, ECTI, ECL and the Bears companies are:</w:t>
      </w:r>
    </w:p>
    <w:p>
      <w:pPr>
        <w:pStyle w:val="Body"/>
        <w:jc w:val="both"/>
        <w:rPr>
          <w:rFonts w:ascii="Times New Roman" w:hAnsi="Times New Roman" w:cs="Times New Roman"/>
          <w:sz w:val="22"/>
        </w:rPr>
      </w:pPr>
      <w:r>
        <w:rPr>
          <w:rFonts w:cs="Times New Roman" w:ascii="Times New Roman" w:hAnsi="Times New Roman"/>
          <w:sz w:val="22"/>
        </w:rPr>
      </w:r>
    </w:p>
    <w:p>
      <w:pPr>
        <w:pStyle w:val="Body"/>
        <w:jc w:val="both"/>
        <w:rPr>
          <w:rFonts w:ascii="Times New Roman" w:hAnsi="Times New Roman" w:cs="Times New Roman"/>
          <w:sz w:val="22"/>
        </w:rPr>
      </w:pPr>
      <w:r>
        <w:rPr>
          <w:rFonts w:cs="Times New Roman" w:ascii="Times New Roman" w:hAnsi="Times New Roman"/>
          <w:sz w:val="22"/>
        </w:rPr>
        <w:t xml:space="preserve">ECL owed </w:t>
        <w:tab/>
        <w:tab/>
        <w:tab/>
        <w:t>nothing</w:t>
      </w:r>
    </w:p>
    <w:p>
      <w:pPr>
        <w:pStyle w:val="Body"/>
        <w:jc w:val="both"/>
        <w:rPr>
          <w:rFonts w:ascii="Times New Roman" w:hAnsi="Times New Roman" w:cs="Times New Roman"/>
          <w:sz w:val="22"/>
        </w:rPr>
      </w:pPr>
      <w:r>
        <w:rPr>
          <w:rFonts w:cs="Times New Roman" w:ascii="Times New Roman" w:hAnsi="Times New Roman"/>
          <w:sz w:val="22"/>
        </w:rPr>
        <w:t>ECL owes</w:t>
        <w:tab/>
        <w:tab/>
        <w:tab/>
        <w:t>$1,503,287.00 in respect of its credit default swap positions with BSIL</w:t>
      </w:r>
    </w:p>
    <w:p>
      <w:pPr>
        <w:pStyle w:val="Body"/>
        <w:jc w:val="both"/>
        <w:rPr>
          <w:rFonts w:ascii="Times New Roman" w:hAnsi="Times New Roman" w:cs="Times New Roman"/>
          <w:sz w:val="22"/>
        </w:rPr>
      </w:pPr>
      <w:r>
        <w:rPr>
          <w:rFonts w:cs="Times New Roman" w:ascii="Times New Roman" w:hAnsi="Times New Roman"/>
          <w:sz w:val="22"/>
        </w:rPr>
        <w:t>ECI owed</w:t>
        <w:tab/>
        <w:tab/>
        <w:tab/>
        <w:t>$12,786,199.34 from brokerage account with BSIL</w:t>
      </w:r>
    </w:p>
    <w:p>
      <w:pPr>
        <w:pStyle w:val="Body"/>
        <w:jc w:val="both"/>
        <w:rPr>
          <w:rFonts w:ascii="Times New Roman" w:hAnsi="Times New Roman" w:cs="Times New Roman"/>
          <w:sz w:val="22"/>
        </w:rPr>
      </w:pPr>
      <w:r>
        <w:rPr>
          <w:rFonts w:cs="Times New Roman" w:ascii="Times New Roman" w:hAnsi="Times New Roman"/>
          <w:sz w:val="22"/>
        </w:rPr>
        <w:t>ECTEF owed</w:t>
        <w:tab/>
        <w:tab/>
        <w:tab/>
        <w:t>$630,258.41 from brokerage account with BSIL (this represents the unliquidated positions on the Loral bonds)</w:t>
      </w:r>
    </w:p>
    <w:p>
      <w:pPr>
        <w:pStyle w:val="Body"/>
        <w:jc w:val="both"/>
        <w:rPr>
          <w:rFonts w:ascii="Times New Roman" w:hAnsi="Times New Roman" w:cs="Times New Roman"/>
          <w:sz w:val="22"/>
        </w:rPr>
      </w:pPr>
      <w:r>
        <w:rPr>
          <w:rFonts w:cs="Times New Roman" w:ascii="Times New Roman" w:hAnsi="Times New Roman"/>
          <w:sz w:val="22"/>
        </w:rPr>
        <w:t>ECTI owed</w:t>
        <w:tab/>
        <w:tab/>
        <w:tab/>
        <w:t>$3,923,970.84 from brokerage account with BSIL</w:t>
      </w:r>
    </w:p>
    <w:sectPr>
      <w:headerReference w:type="default" r:id="rId3"/>
      <w:headerReference w:type="first" r:id="rId4"/>
      <w:footerReference w:type="default" r:id="rId5"/>
      <w:footerReference w:type="first" r:id="rId6"/>
      <w:type w:val="nextPage"/>
      <w:pgSz w:w="11906" w:h="16838"/>
      <w:pgMar w:left="720" w:right="720" w:gutter="0" w:header="720" w:top="776" w:footer="360" w:bottom="81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ind w:hanging="432" w:start="450" w:end="0"/>
    </w:pPr>
    <w:rPr>
      <w:rFonts w:cs="Arial"/>
      <w:sz w:val="20"/>
    </w:rPr>
  </w:style>
  <w:style w:type="paragraph" w:styleId="BodyTextIndent2">
    <w:name w:val="Body Text Indent 2"/>
    <w:basedOn w:val="Normal"/>
    <w:qFormat/>
    <w:pPr>
      <w:tabs>
        <w:tab w:val="clear" w:pos="540"/>
      </w:tabs>
      <w:autoSpaceDE w:val="false"/>
      <w:ind w:hanging="2862" w:start="2880" w:end="0"/>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2001-12-13T09:08:00Z</dcterms:created>
  <dc:creator>TFoy</dc:creator>
  <dc:description/>
  <dc:language>en-CA</dc:language>
  <cp:lastModifiedBy>bseyfrie</cp:lastModifiedBy>
  <cp:lastPrinted>2001-12-13T11:25:00Z</cp:lastPrinted>
  <dcterms:modified xsi:type="dcterms:W3CDTF">2001-12-13T09:08:00Z</dcterms:modified>
  <cp:revision>2</cp:revision>
  <dc:subject>Tractebel Meeting</dc:subject>
  <dc:title> </dc:title>
</cp:coreProperties>
</file>