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w:t>
      </w:r>
      <w:r>
        <w:rPr>
          <w:sz w:val="24"/>
          <w:u w:val="single"/>
        </w:rPr>
        <w:tab/>
        <w:tab/>
      </w:r>
      <w:r>
        <w:rPr>
          <w:sz w:val="24"/>
        </w:rPr>
        <w:t xml:space="preserve">, 2001, is made and entered into by </w:t>
      </w:r>
      <w:r>
        <w:rPr>
          <w:caps/>
          <w:sz w:val="24"/>
        </w:rPr>
        <w:t>Enron Corp.</w:t>
      </w:r>
      <w:r>
        <w:rPr>
          <w:sz w:val="24"/>
        </w:rPr>
        <w:t>, an Oregon corporation (“Guarantor”).</w:t>
      </w:r>
    </w:p>
    <w:p>
      <w:pPr>
        <w:pStyle w:val="Normal"/>
        <w:spacing w:lineRule="atLeast" w:line="240"/>
        <w:ind w:firstLine="720" w:end="0"/>
        <w:jc w:val="both"/>
        <w:rPr>
          <w:sz w:val="24"/>
        </w:rPr>
      </w:pPr>
      <w:r>
        <w:rPr>
          <w:sz w:val="24"/>
        </w:rPr>
      </w:r>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w:t>
      </w:r>
      <w:r>
        <w:rPr>
          <w:spacing w:val="-2"/>
          <w:sz w:val="24"/>
        </w:rPr>
        <w:t>The Bear Stearns Companies Inc</w:t>
      </w:r>
      <w:r>
        <w:rPr>
          <w:sz w:val="24"/>
        </w:rPr>
        <w:t xml:space="preserve">, a Delaware corporation (“Counterparty”), and ENRON NORTH AMERICA CORP. </w:t>
      </w:r>
      <w:r>
        <w:rPr>
          <w:color w:val="000000"/>
          <w:sz w:val="24"/>
        </w:rPr>
        <w:t>, a Delaware corporation</w:t>
      </w:r>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 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Counterparty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if Enron fails or refuses to pay or perform any Obligations and Counterparty has elected to exercise its rights under this Guaranty, Counterparty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Counterparty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a Counterparty’s failure to insist at any time upon strict compliance with the Guaranty or with any of the terms hereof nor any continued course of such conduct on its part shall operate as a waiver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lang w:eastAsia="en-CA"/>
        </w:rPr>
      </w:pPr>
      <w:r>
        <w:rPr>
          <w:lang w:eastAsia="en-CA"/>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a Counterparty.</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sz w:val="24"/>
        </w:rPr>
      </w:pPr>
      <w:r>
        <w:rPr>
          <w:sz w:val="24"/>
        </w:rPr>
        <w:t>Guarantor’s obligations hereunder shall be paid without set-off or counter-claim against any obligation the Counterparty may owe to Guarantor.</w:t>
      </w:r>
    </w:p>
    <w:p>
      <w:pPr>
        <w:pStyle w:val="Normal"/>
        <w:spacing w:lineRule="atLeast" w:line="240"/>
        <w:ind w:firstLine="720" w:end="0"/>
        <w:jc w:val="both"/>
        <w:rPr>
          <w:sz w:val="24"/>
        </w:rPr>
      </w:pPr>
      <w:r>
        <w:rPr>
          <w:sz w:val="24"/>
        </w:rPr>
      </w:r>
    </w:p>
    <w:p>
      <w:pPr>
        <w:pStyle w:val="BodyMain"/>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Counterparty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r>
        <w:rPr/>
        <w:t xml:space="preserve">6.  </w:t>
      </w:r>
      <w:r>
        <w:rPr>
          <w:u w:val="single"/>
        </w:rPr>
        <w:t>TERMINATION</w:t>
      </w:r>
      <w:r>
        <w:rPr/>
        <w:t xml:space="preserve">.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5:00 p.m. (New York time) on the fifth business day after receipt by Counterparty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r>
              <w:rPr>
                <w:color w:val="000000"/>
                <w:sz w:val="24"/>
              </w:rPr>
              <w:t>To Counterparty:</w:t>
            </w:r>
          </w:p>
        </w:tc>
        <w:tc>
          <w:tcPr>
            <w:tcW w:w="3330" w:type="dxa"/>
            <w:tcBorders/>
          </w:tcPr>
          <w:p>
            <w:pPr>
              <w:pStyle w:val="Heading2"/>
              <w:ind w:hanging="0" w:start="0"/>
              <w:rPr/>
            </w:pPr>
            <w:r>
              <w:rPr/>
              <w:t>The Bear Stearns Companies Inc.</w:t>
              <w:tab/>
            </w:r>
          </w:p>
        </w:tc>
        <w:tc>
          <w:tcPr>
            <w:tcW w:w="1530" w:type="dxa"/>
            <w:tcBorders/>
          </w:tcPr>
          <w:p>
            <w:pPr>
              <w:pStyle w:val="Normal"/>
              <w:keepNext w:val="true"/>
              <w:keepLines/>
              <w:spacing w:lineRule="atLeast" w:line="240"/>
              <w:ind w:end="-108"/>
              <w:rPr>
                <w:color w:val="000000"/>
                <w:sz w:val="24"/>
              </w:rPr>
            </w:pPr>
            <w:r>
              <w:rPr>
                <w:color w:val="000000"/>
                <w:sz w:val="24"/>
              </w:rPr>
              <w:t>To Guarantor:</w:t>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Enron Corp.</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Attn.:  Managing Director,</w:t>
            </w:r>
          </w:p>
          <w:p>
            <w:pPr>
              <w:pStyle w:val="Normal"/>
              <w:keepNext w:val="true"/>
              <w:keepLines/>
              <w:tabs>
                <w:tab w:val="clear" w:pos="720"/>
                <w:tab w:val="left" w:pos="3132" w:leader="none"/>
              </w:tabs>
              <w:spacing w:lineRule="atLeast" w:line="240"/>
              <w:rPr>
                <w:color w:val="000000"/>
                <w:sz w:val="24"/>
                <w:u w:val="single"/>
              </w:rPr>
            </w:pPr>
            <w:r>
              <w:rPr>
                <w:color w:val="000000"/>
                <w:sz w:val="24"/>
              </w:rPr>
              <w:t xml:space="preserve">           </w:t>
            </w:r>
            <w:r>
              <w:rPr>
                <w:color w:val="000000"/>
                <w:sz w:val="24"/>
              </w:rPr>
              <w:t>Margin Department</w:t>
            </w:r>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Attn.:  Vice President, Finance and Treasurer</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 xml:space="preserve">Fax No.: </w:t>
            </w:r>
            <w:r>
              <w:rPr>
                <w:sz w:val="24"/>
                <w:lang w:eastAsia="en-US"/>
              </w:rPr>
              <w:t>(212) 272-0627</w:t>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Fax No.:  (713) 646-3422</w:t>
            </w:r>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Counterparty pursuant hereto must also be sent to the above address to The Bear Stearns Companies Inc., Attention:  General Counsel,  Fax No. (212) 272-6594.</w:t>
      </w:r>
    </w:p>
    <w:p>
      <w:pPr>
        <w:pStyle w:val="Normal"/>
        <w:spacing w:lineRule="atLeast" w:line="240"/>
        <w:jc w:val="both"/>
        <w:rPr>
          <w:sz w:val="24"/>
        </w:rPr>
      </w:pPr>
      <w:r>
        <w:rPr>
          <w:sz w:val="24"/>
        </w:rPr>
      </w:r>
    </w:p>
    <w:p>
      <w:pPr>
        <w:pStyle w:val="Normal"/>
        <w:spacing w:lineRule="exact" w:line="240"/>
        <w:ind w:start="720" w:end="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Guarantor hereby authorizes Counterparty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Counterparty, its successors and assigns. Any assignment of the Guaranty by the Guarantor without the prior written consent of an authorized representative of Counterparty shall be null and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IN WITNESS WHEREOF, the Guarantor has executed this Guaranty on  February__,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r>
      <w:r>
        <w:rPr>
          <w:sz w:val="24"/>
          <w:u w:val="single"/>
        </w:rPr>
        <w:tab/>
        <w:tab/>
        <w:tab/>
        <w:tab/>
        <w:tab/>
        <w:tab/>
        <w:t>______</w:t>
      </w:r>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pPr>
      <w:r>
        <w:rPr>
          <w:sz w:val="24"/>
        </w:rPr>
        <w:t xml:space="preserve">Title:  </w:t>
      </w:r>
      <w:r>
        <w:rPr>
          <w:sz w:val="24"/>
          <w:u w:val="single"/>
        </w:rPr>
        <w:tab/>
        <w:tab/>
        <w:tab/>
        <w:tab/>
        <w:tab/>
        <w:tab/>
        <w:t>______</w:t>
      </w:r>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sz w:val="24"/>
        </w:rPr>
      </w:pPr>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2001-02-16T14:30:00Z</dcterms:created>
  <dc:creator>tjones</dc:creator>
  <dc:description/>
  <dc:language>en-CA</dc:language>
  <cp:lastModifiedBy>Anna Meytina</cp:lastModifiedBy>
  <cp:lastPrinted>2001-02-16T11:53:00Z</cp:lastPrinted>
  <dcterms:modified xsi:type="dcterms:W3CDTF">2001-02-16T14:30:00Z</dcterms:modified>
  <cp:revision>2</cp:revision>
  <dc:subject/>
  <dc:title>EXHIBIT A</dc:title>
</cp:coreProperties>
</file>