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Bear, Stearns Securities Corp., Bear, Stearns &amp; Co. Inc. and/or their affiliates (individually, each a “Beneficiary” and, collectively, “Bear Stearns”)</w:t>
      </w:r>
      <w:r>
        <w:rPr/>
        <w:t xml:space="preserve"> </w:t>
      </w:r>
      <w:r>
        <w:rPr>
          <w:sz w:val="24"/>
        </w:rPr>
        <w:t xml:space="preserve"> and ENRON NORTH AMERICA CORP.</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Bear Stearns;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Bear Stearns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each Beneficiary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a Beneficiary has elected to exercise its rights under this Guaranty, a Beneficiary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a Beneficiary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each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Beneficiary’s failure to insist at any time upon strict compliance with the Guaranty or with any of the terms hereof nor any continued course of such conduct on  its part shall operate as a waiver by such Beneficiary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Beneficiary.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a Beneficiary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each Beneficiary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Beneficiaries and upon the effectiveness of such termination, Guarantor shall have no further liability hereunder, except as provided in the last sentence of this paragraph.  No such termination shall be effective until 5:00 p.m. (New York time) on the fifth business day after receipt by Beneficiaries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Beneficiaries:</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each Beneficiary pursuant hereto must also be sent to the above address to The Bear Stearns Companies Inc., Attention:  General Counsel,  Fax No. (212) 272-6594.</w:t>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each Beneficiary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each Beneficiary, its successors and assigns. Any assignment of the Guaranty by the Guarantor without the prior written consent of an authorized representative of  each Beneficiary shall be null and void.  The Guaranty embodies the entire agreement and understanding between Guarantor and each Beneficiary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2001-02-20T14:32:00Z</dcterms:created>
  <dc:creator>tjones</dc:creator>
  <dc:description/>
  <dc:language>en-CA</dc:language>
  <cp:lastModifiedBy>Anna Meytina</cp:lastModifiedBy>
  <cp:lastPrinted>2001-02-20T12:01:00Z</cp:lastPrinted>
  <dcterms:modified xsi:type="dcterms:W3CDTF">2001-02-20T15:19:00Z</dcterms:modified>
  <cp:revision>4</cp:revision>
  <dc:subject/>
  <dc:title>EXHIBIT A</dc:title>
</cp:coreProperties>
</file>