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Heading7"/>
        <w:ind w:hanging="0" w:start="0"/>
        <w:rPr/>
      </w:pPr>
      <w:r>
        <w:rPr/>
        <w:t>November 7, 2000</w:t>
      </w:r>
    </w:p>
    <w:p>
      <w:pPr>
        <w:pStyle w:val="Normal"/>
        <w:rPr>
          <w:sz w:val="24"/>
        </w:rPr>
      </w:pPr>
      <w:r>
        <w:rPr>
          <w:sz w:val="24"/>
        </w:rPr>
      </w:r>
    </w:p>
    <w:p>
      <w:pPr>
        <w:pStyle w:val="Normal"/>
        <w:rPr>
          <w:sz w:val="24"/>
        </w:rPr>
      </w:pPr>
      <w:r>
        <w:rPr>
          <w:sz w:val="24"/>
        </w:rPr>
      </w:r>
    </w:p>
    <w:p>
      <w:pPr>
        <w:pStyle w:val="Normal"/>
        <w:rPr>
          <w:sz w:val="24"/>
        </w:rPr>
      </w:pPr>
      <w:r>
        <w:rPr>
          <w:sz w:val="24"/>
        </w:rPr>
        <w:t>Mr. Richard Riehm</w:t>
      </w:r>
    </w:p>
    <w:p>
      <w:pPr>
        <w:pStyle w:val="Normal"/>
        <w:rPr>
          <w:sz w:val="24"/>
        </w:rPr>
      </w:pPr>
      <w:r>
        <w:rPr>
          <w:sz w:val="24"/>
        </w:rPr>
        <w:t>Burlington Resources Gathering Inc.</w:t>
      </w:r>
    </w:p>
    <w:p>
      <w:pPr>
        <w:pStyle w:val="Normal"/>
        <w:rPr>
          <w:sz w:val="24"/>
        </w:rPr>
      </w:pPr>
      <w:r>
        <w:rPr>
          <w:sz w:val="24"/>
        </w:rPr>
        <w:t>5051 Westheimer, Suite 1400</w:t>
      </w:r>
    </w:p>
    <w:p>
      <w:pPr>
        <w:pStyle w:val="Normal"/>
        <w:rPr>
          <w:sz w:val="24"/>
        </w:rPr>
      </w:pPr>
      <w:r>
        <w:rPr>
          <w:sz w:val="24"/>
        </w:rPr>
        <w:t>Houston, Texas   77056-2124</w:t>
      </w:r>
    </w:p>
    <w:p>
      <w:pPr>
        <w:pStyle w:val="Normal"/>
        <w:rPr>
          <w:sz w:val="24"/>
        </w:rPr>
      </w:pPr>
      <w:r>
        <w:rPr>
          <w:sz w:val="24"/>
        </w:rPr>
      </w:r>
    </w:p>
    <w:p>
      <w:pPr>
        <w:pStyle w:val="Normal"/>
        <w:rPr>
          <w:sz w:val="24"/>
        </w:rPr>
      </w:pPr>
      <w:r>
        <w:rPr>
          <w:sz w:val="24"/>
        </w:rPr>
        <w:t>Dear Richard:</w:t>
      </w:r>
    </w:p>
    <w:p>
      <w:pPr>
        <w:pStyle w:val="Normal"/>
        <w:rPr>
          <w:sz w:val="24"/>
        </w:rPr>
      </w:pPr>
      <w:r>
        <w:rPr>
          <w:sz w:val="24"/>
        </w:rPr>
      </w:r>
    </w:p>
    <w:p>
      <w:pPr>
        <w:pStyle w:val="Normal"/>
        <w:jc w:val="both"/>
        <w:rPr>
          <w:sz w:val="24"/>
        </w:rPr>
      </w:pPr>
      <w:r>
        <w:rPr>
          <w:sz w:val="24"/>
        </w:rPr>
        <w:tab/>
        <w:t>Burlington Resources Gathering Inc. ("BR") (as successor in interest to Meridian Oil Gathering Inc.) and Transwestern Pipeline Company ("TW") are parties to that certain Interconnect Point Operating Agreement entered into as of December 31, 1992 ("Interconnect Agreement") as modified by three subsequent Letter Agreements dated February 18, 1993 ("1993 Letter Agreement"), September 25, 1995 ("1995 Letter Agreement") and January 31, 2000 ("1-2000 Letter Agreement").  BR and TW hereby agree as follows:</w:t>
      </w:r>
    </w:p>
    <w:p>
      <w:pPr>
        <w:pStyle w:val="Normal"/>
        <w:jc w:val="both"/>
        <w:rPr>
          <w:sz w:val="24"/>
        </w:rPr>
      </w:pPr>
      <w:r>
        <w:rPr>
          <w:sz w:val="24"/>
        </w:rPr>
      </w:r>
    </w:p>
    <w:p>
      <w:pPr>
        <w:pStyle w:val="Normal"/>
        <w:jc w:val="both"/>
        <w:rPr/>
      </w:pPr>
      <w:r>
        <w:rPr>
          <w:sz w:val="24"/>
        </w:rPr>
        <w:tab/>
        <w:t xml:space="preserve">1.  </w:t>
      </w:r>
      <w:r>
        <w:rPr>
          <w:sz w:val="24"/>
          <w:u w:val="single"/>
        </w:rPr>
        <w:t>Amendment</w:t>
      </w:r>
      <w:r>
        <w:rPr>
          <w:sz w:val="24"/>
        </w:rPr>
        <w:t>.  Effective August 1, 2000, the 1-2000 Letter Agreement is terminated in its entirety, and the first sentence of Paragraph 3 of the 1993 Letter Agreement shall be amended to read as follows:</w:t>
      </w:r>
    </w:p>
    <w:p>
      <w:pPr>
        <w:pStyle w:val="Normal"/>
        <w:jc w:val="both"/>
        <w:rPr>
          <w:sz w:val="24"/>
        </w:rPr>
      </w:pPr>
      <w:r>
        <w:rPr>
          <w:sz w:val="24"/>
        </w:rPr>
      </w:r>
    </w:p>
    <w:p>
      <w:pPr>
        <w:pStyle w:val="BlockText"/>
        <w:rPr/>
      </w:pPr>
      <w:r>
        <w:rPr/>
        <w:tab/>
        <w:t xml:space="preserve">TW, in its individual capability, and not as operator of the Blanco Hub, shall accept from Burlington the volumes of gas nominated and scheduled in accordance with TW's FERC Gas Tariff at the inlet to the measurement facilities at the Blanco Hub at operating pressures listed below for the remaining term of the Interconnect Agreement.  </w:t>
      </w:r>
    </w:p>
    <w:p>
      <w:pPr>
        <w:pStyle w:val="Normal"/>
        <w:jc w:val="both"/>
        <w:rPr>
          <w:sz w:val="24"/>
        </w:rPr>
      </w:pPr>
      <w:r>
        <w:rPr>
          <w:sz w:val="24"/>
        </w:rPr>
      </w:r>
    </w:p>
    <w:p>
      <w:pPr>
        <w:pStyle w:val="Normal"/>
        <w:jc w:val="center"/>
        <w:rPr>
          <w:sz w:val="24"/>
        </w:rPr>
      </w:pPr>
      <w:r>
        <w:rPr>
          <w:sz w:val="24"/>
        </w:rPr>
        <w:t>WINTER (November 1 - March 31)</w:t>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BR Pressure (psig)  (1)</w:t>
            </w:r>
          </w:p>
          <w:p>
            <w:pPr>
              <w:pStyle w:val="Normal"/>
              <w:jc w:val="center"/>
              <w:rPr>
                <w:sz w:val="24"/>
              </w:rPr>
            </w:pPr>
            <w:r>
              <w:rPr>
                <w:sz w:val="24"/>
              </w:rPr>
              <w:t>Val Verde</w:t>
            </w:r>
          </w:p>
        </w:tc>
        <w:tc>
          <w:tcPr>
            <w:tcW w:w="2952"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Blanco Hub Pressure: 905</w:t>
            </w:r>
          </w:p>
          <w:p>
            <w:pPr>
              <w:pStyle w:val="Normal"/>
              <w:jc w:val="center"/>
              <w:rPr>
                <w:sz w:val="24"/>
              </w:rPr>
            </w:pPr>
            <w:r>
              <w:rPr>
                <w:sz w:val="24"/>
              </w:rPr>
              <w:t>Flow (MMCF/D)  (2)</w:t>
            </w:r>
          </w:p>
        </w:tc>
        <w:tc>
          <w:tcPr>
            <w:tcW w:w="2952"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Blanco Hub Pressure: 870</w:t>
            </w:r>
          </w:p>
          <w:p>
            <w:pPr>
              <w:pStyle w:val="Normal"/>
              <w:jc w:val="center"/>
              <w:rPr>
                <w:sz w:val="24"/>
              </w:rPr>
            </w:pPr>
            <w:r>
              <w:rPr>
                <w:sz w:val="24"/>
              </w:rPr>
              <w:t>Flow (MMCF/D)  (2)</w:t>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630 - 650</w:t>
            </w:r>
          </w:p>
        </w:tc>
        <w:tc>
          <w:tcPr>
            <w:tcW w:w="2952"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190 - 213</w:t>
            </w:r>
          </w:p>
        </w:tc>
        <w:tc>
          <w:tcPr>
            <w:tcW w:w="2952"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220 - 250</w:t>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610 - 629</w:t>
            </w:r>
          </w:p>
        </w:tc>
        <w:tc>
          <w:tcPr>
            <w:tcW w:w="2952"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174 - 189</w:t>
            </w:r>
          </w:p>
        </w:tc>
        <w:tc>
          <w:tcPr>
            <w:tcW w:w="2952"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200 - 219</w:t>
            </w:r>
          </w:p>
        </w:tc>
      </w:tr>
    </w:tbl>
    <w:p>
      <w:pPr>
        <w:pStyle w:val="Normal"/>
        <w:jc w:val="center"/>
        <w:rPr>
          <w:sz w:val="24"/>
        </w:rPr>
      </w:pPr>
      <w:r>
        <w:rPr>
          <w:sz w:val="24"/>
        </w:rPr>
      </w:r>
    </w:p>
    <w:p>
      <w:pPr>
        <w:pStyle w:val="Normal"/>
        <w:jc w:val="center"/>
        <w:rPr>
          <w:sz w:val="24"/>
        </w:rPr>
      </w:pPr>
      <w:r>
        <w:rPr>
          <w:sz w:val="24"/>
        </w:rPr>
        <w:t>SUMMER (April 1 - October 31)</w:t>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BR Pressure (psig)  (1)</w:t>
            </w:r>
          </w:p>
          <w:p>
            <w:pPr>
              <w:pStyle w:val="Normal"/>
              <w:jc w:val="center"/>
              <w:rPr>
                <w:sz w:val="24"/>
              </w:rPr>
            </w:pPr>
            <w:r>
              <w:rPr>
                <w:sz w:val="24"/>
              </w:rPr>
              <w:t>Val Verde</w:t>
            </w:r>
          </w:p>
        </w:tc>
        <w:tc>
          <w:tcPr>
            <w:tcW w:w="2952"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Blanco Hub Pressure: 905</w:t>
            </w:r>
          </w:p>
          <w:p>
            <w:pPr>
              <w:pStyle w:val="Normal"/>
              <w:jc w:val="center"/>
              <w:rPr>
                <w:sz w:val="24"/>
              </w:rPr>
            </w:pPr>
            <w:r>
              <w:rPr>
                <w:sz w:val="24"/>
              </w:rPr>
              <w:t>Flow (MMCF/D)  (2)</w:t>
            </w:r>
          </w:p>
        </w:tc>
        <w:tc>
          <w:tcPr>
            <w:tcW w:w="2952"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Blanco Hub Pressure: 870</w:t>
            </w:r>
          </w:p>
          <w:p>
            <w:pPr>
              <w:pStyle w:val="Normal"/>
              <w:jc w:val="center"/>
              <w:rPr>
                <w:sz w:val="24"/>
              </w:rPr>
            </w:pPr>
            <w:r>
              <w:rPr>
                <w:sz w:val="24"/>
              </w:rPr>
              <w:t>Flow (MMCF/D)  (2)</w:t>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630 - 650</w:t>
            </w:r>
          </w:p>
        </w:tc>
        <w:tc>
          <w:tcPr>
            <w:tcW w:w="2952"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166 - 180</w:t>
            </w:r>
          </w:p>
        </w:tc>
        <w:tc>
          <w:tcPr>
            <w:tcW w:w="2952"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191 - 202</w:t>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610 – 629</w:t>
            </w:r>
          </w:p>
        </w:tc>
        <w:tc>
          <w:tcPr>
            <w:tcW w:w="2952"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151 - 165</w:t>
            </w:r>
          </w:p>
        </w:tc>
        <w:tc>
          <w:tcPr>
            <w:tcW w:w="2952"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174 - 190</w:t>
            </w:r>
          </w:p>
        </w:tc>
      </w:tr>
    </w:tbl>
    <w:p>
      <w:pPr>
        <w:pStyle w:val="Normal"/>
        <w:ind w:start="720" w:end="0"/>
        <w:jc w:val="both"/>
        <w:rPr>
          <w:sz w:val="24"/>
        </w:rPr>
      </w:pPr>
      <w:r>
        <w:rPr>
          <w:sz w:val="24"/>
        </w:rPr>
        <w:t>(1) Indicates pressure at the inlet to BR's measurement at the Blanco Hub.</w:t>
      </w:r>
    </w:p>
    <w:p>
      <w:pPr>
        <w:pStyle w:val="Normal"/>
        <w:ind w:start="720" w:end="0"/>
        <w:jc w:val="both"/>
        <w:rPr>
          <w:sz w:val="24"/>
        </w:rPr>
      </w:pPr>
      <w:r>
        <w:rPr>
          <w:sz w:val="24"/>
        </w:rPr>
        <w:t>(2) Indicates pressure at the suction side of Units #1,2,4 of the Blanco Hub.</w:t>
      </w:r>
      <w:r>
        <w:br w:type="page"/>
      </w:r>
    </w:p>
    <w:p>
      <w:pPr>
        <w:pStyle w:val="Normal"/>
        <w:jc w:val="both"/>
        <w:rPr>
          <w:sz w:val="24"/>
        </w:rPr>
      </w:pPr>
      <w:r>
        <w:rPr>
          <w:sz w:val="24"/>
        </w:rPr>
        <w:t>Burlington Resources</w:t>
      </w:r>
    </w:p>
    <w:p>
      <w:pPr>
        <w:pStyle w:val="Normal"/>
        <w:jc w:val="both"/>
        <w:rPr>
          <w:sz w:val="24"/>
        </w:rPr>
      </w:pPr>
      <w:r>
        <w:rPr>
          <w:sz w:val="24"/>
        </w:rPr>
        <w:t>Page 2</w:t>
      </w:r>
    </w:p>
    <w:p>
      <w:pPr>
        <w:pStyle w:val="Normal"/>
        <w:jc w:val="both"/>
        <w:rPr>
          <w:sz w:val="24"/>
        </w:rPr>
      </w:pPr>
      <w:r>
        <w:rPr>
          <w:sz w:val="24"/>
        </w:rPr>
        <w:t>November 7, 2000</w:t>
      </w:r>
    </w:p>
    <w:p>
      <w:pPr>
        <w:pStyle w:val="Normal"/>
        <w:jc w:val="both"/>
        <w:rPr>
          <w:sz w:val="24"/>
        </w:rPr>
      </w:pPr>
      <w:r>
        <w:rPr>
          <w:sz w:val="24"/>
        </w:rPr>
      </w:r>
    </w:p>
    <w:p>
      <w:pPr>
        <w:pStyle w:val="Normal"/>
        <w:jc w:val="both"/>
        <w:rPr>
          <w:sz w:val="24"/>
        </w:rPr>
      </w:pPr>
      <w:r>
        <w:rPr>
          <w:sz w:val="24"/>
        </w:rPr>
      </w:r>
    </w:p>
    <w:p>
      <w:pPr>
        <w:pStyle w:val="BodyText"/>
        <w:rPr/>
      </w:pPr>
      <w:r>
        <w:rPr/>
        <w:tab/>
        <w:t xml:space="preserve">2.  </w:t>
      </w:r>
      <w:r>
        <w:rPr>
          <w:u w:val="single"/>
        </w:rPr>
        <w:t>Settlement</w:t>
      </w:r>
      <w:r>
        <w:rPr/>
        <w:t xml:space="preserve">.  TW agrees to issue BR a credit to transportation contract invoices in the sum of Ninety-Eight Thousand, Eight Hundred Thirty-Two Dollars and Eight Cents ($98,832.08) within 30 days of TW's receipt of this Letter Agreement signed by BR.  BR agrees to accept such sum as full settlement of, and hereby waives, releases and discharges TW, its parent and affiliated companies and their directors, officers, employees and agents (Affiliated Entities) from any and all claims or demands for claims, actions, damages, costs or expenses which arose at any time prior to August 1, 2000 and have been or could have been asserted by BR as of August 1, 2000 against TW or the Affiliated Entities for any violation of the Interconnect Agreement, the 1993 Letter Agreement, the 1995 Letter Agreement or the 1-2000 Letter Agreement, prior to August 1, 2000.  </w:t>
      </w:r>
    </w:p>
    <w:p>
      <w:pPr>
        <w:pStyle w:val="BodyText"/>
        <w:rPr/>
      </w:pPr>
      <w:r>
        <w:rPr/>
      </w:r>
    </w:p>
    <w:p>
      <w:pPr>
        <w:pStyle w:val="BodyText"/>
        <w:rPr/>
      </w:pPr>
      <w:r>
        <w:rPr/>
        <w:tab/>
        <w:t xml:space="preserve">3. </w:t>
      </w:r>
      <w:r>
        <w:rPr>
          <w:u w:val="single"/>
        </w:rPr>
        <w:t>Avoidance of Litigation</w:t>
      </w:r>
      <w:r>
        <w:rPr/>
        <w:t>.  The terms hereof are contractual and not mere recitals, and this Letter Agreement and the consideration transferred is to compromise actual and/or potential claims by BR against TW and to avoid litigation.  The payment of said sum by TW is not to be construed as an admission of liability or fault on the part of TW or the Affiliated Entities.</w:t>
      </w:r>
    </w:p>
    <w:p>
      <w:pPr>
        <w:pStyle w:val="BodyText"/>
        <w:rPr/>
      </w:pPr>
      <w:r>
        <w:rPr/>
      </w:r>
    </w:p>
    <w:p>
      <w:pPr>
        <w:pStyle w:val="Normal"/>
        <w:jc w:val="both"/>
        <w:rPr/>
      </w:pPr>
      <w:r>
        <w:rPr>
          <w:sz w:val="24"/>
        </w:rPr>
        <w:tab/>
        <w:t xml:space="preserve">4. </w:t>
      </w:r>
      <w:r>
        <w:rPr>
          <w:sz w:val="24"/>
          <w:u w:val="single"/>
        </w:rPr>
        <w:t>Confidentiality</w:t>
      </w:r>
      <w:r>
        <w:rPr>
          <w:sz w:val="24"/>
        </w:rPr>
        <w:t>.  Except as may be required by law, BR and TW agree not to disclose the terms of this Letter Agreement to third parties other than their respective legal and financial advisers.</w:t>
      </w:r>
    </w:p>
    <w:p>
      <w:pPr>
        <w:pStyle w:val="Normal"/>
        <w:jc w:val="both"/>
        <w:rPr>
          <w:sz w:val="24"/>
        </w:rPr>
      </w:pPr>
      <w:r>
        <w:rPr>
          <w:sz w:val="24"/>
        </w:rPr>
      </w:r>
    </w:p>
    <w:p>
      <w:pPr>
        <w:pStyle w:val="Normal"/>
        <w:jc w:val="both"/>
        <w:rPr/>
      </w:pPr>
      <w:r>
        <w:rPr>
          <w:sz w:val="24"/>
        </w:rPr>
        <w:tab/>
        <w:t xml:space="preserve">5. </w:t>
      </w:r>
      <w:r>
        <w:rPr>
          <w:sz w:val="24"/>
          <w:u w:val="single"/>
        </w:rPr>
        <w:t>Successors and Assigns</w:t>
      </w:r>
      <w:r>
        <w:rPr>
          <w:sz w:val="24"/>
        </w:rPr>
        <w:t>.  This Letter Agreement shall be binding upon the successors and assigns of the parties hereto.</w:t>
      </w:r>
    </w:p>
    <w:p>
      <w:pPr>
        <w:pStyle w:val="Normal"/>
        <w:jc w:val="both"/>
        <w:rPr>
          <w:sz w:val="24"/>
        </w:rPr>
      </w:pPr>
      <w:r>
        <w:rPr>
          <w:sz w:val="24"/>
        </w:rPr>
      </w:r>
    </w:p>
    <w:p>
      <w:pPr>
        <w:pStyle w:val="Normal"/>
        <w:jc w:val="both"/>
        <w:rPr/>
      </w:pPr>
      <w:r>
        <w:rPr>
          <w:sz w:val="24"/>
        </w:rPr>
        <w:tab/>
        <w:t xml:space="preserve">6.  </w:t>
      </w:r>
      <w:r>
        <w:rPr>
          <w:sz w:val="24"/>
          <w:u w:val="single"/>
        </w:rPr>
        <w:t>Entire Agreement</w:t>
      </w:r>
      <w:r>
        <w:rPr>
          <w:sz w:val="24"/>
        </w:rPr>
        <w:t>.  This Letter Agreement constitutes the entire agreement between the parties with respect to the matters referenced herein and may not be changed or modified except by written amendment signed by the parties hereto.</w:t>
      </w:r>
    </w:p>
    <w:p>
      <w:pPr>
        <w:pStyle w:val="Normal"/>
        <w:jc w:val="both"/>
        <w:rPr>
          <w:sz w:val="24"/>
        </w:rPr>
      </w:pPr>
      <w:r>
        <w:rPr>
          <w:sz w:val="24"/>
        </w:rPr>
      </w:r>
    </w:p>
    <w:p>
      <w:pPr>
        <w:pStyle w:val="Normal"/>
        <w:jc w:val="both"/>
        <w:rPr>
          <w:sz w:val="24"/>
        </w:rPr>
      </w:pPr>
      <w:r>
        <w:rPr>
          <w:sz w:val="24"/>
        </w:rPr>
        <w:tab/>
        <w:t>If the foregoing correctly states our understanding, please indicate your agreement by having an authorized representative sign both originals of this Letter Agreement in the space provided below and return them to me.  After our execution, a fully signed original will be returned to you for your files.</w:t>
      </w:r>
    </w:p>
    <w:p>
      <w:pPr>
        <w:pStyle w:val="Normal"/>
        <w:jc w:val="both"/>
        <w:rPr>
          <w:sz w:val="24"/>
        </w:rPr>
      </w:pPr>
      <w:r>
        <w:rPr>
          <w:sz w:val="24"/>
        </w:rPr>
      </w:r>
    </w:p>
    <w:p>
      <w:pPr>
        <w:pStyle w:val="Normal"/>
        <w:rPr>
          <w:sz w:val="24"/>
        </w:rPr>
      </w:pPr>
      <w:r>
        <w:rPr>
          <w:sz w:val="24"/>
        </w:rPr>
        <w:t>Very truly yours,</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Michelle Lokay</w:t>
      </w:r>
    </w:p>
    <w:p>
      <w:pPr>
        <w:pStyle w:val="Normal"/>
        <w:rPr>
          <w:sz w:val="24"/>
        </w:rPr>
      </w:pPr>
      <w:r>
        <w:rPr>
          <w:sz w:val="24"/>
        </w:rPr>
        <w:t>Account Director</w:t>
      </w:r>
    </w:p>
    <w:p>
      <w:pPr>
        <w:pStyle w:val="Normal"/>
        <w:rPr>
          <w:sz w:val="24"/>
        </w:rPr>
      </w:pPr>
      <w:r>
        <w:rPr>
          <w:sz w:val="24"/>
        </w:rPr>
      </w:r>
    </w:p>
    <w:p>
      <w:pPr>
        <w:pStyle w:val="Normal"/>
        <w:rPr>
          <w:sz w:val="24"/>
        </w:rPr>
      </w:pPr>
      <w:r>
        <w:rPr>
          <w:sz w:val="24"/>
        </w:rPr>
        <w:t>ACCEPTED AND AGREED TO</w:t>
        <w:tab/>
        <w:tab/>
        <w:t>ACCEPTED AND AGREED TO</w:t>
      </w:r>
    </w:p>
    <w:p>
      <w:pPr>
        <w:pStyle w:val="Normal"/>
        <w:rPr>
          <w:sz w:val="24"/>
        </w:rPr>
      </w:pPr>
      <w:r>
        <w:rPr>
          <w:sz w:val="24"/>
        </w:rPr>
        <w:t>This ______ day of November, 2000</w:t>
        <w:tab/>
        <w:tab/>
        <w:t>This  _______ day of November, 2000.</w:t>
      </w:r>
    </w:p>
    <w:p>
      <w:pPr>
        <w:pStyle w:val="Normal"/>
        <w:rPr>
          <w:sz w:val="24"/>
        </w:rPr>
      </w:pPr>
      <w:r>
        <w:rPr>
          <w:sz w:val="24"/>
        </w:rPr>
      </w:r>
    </w:p>
    <w:p>
      <w:pPr>
        <w:pStyle w:val="Normal"/>
        <w:rPr>
          <w:sz w:val="24"/>
        </w:rPr>
      </w:pPr>
      <w:r>
        <w:rPr>
          <w:sz w:val="24"/>
        </w:rPr>
        <w:t>BURLINGTON RESOURCES</w:t>
        <w:tab/>
        <w:tab/>
        <w:t>TRANSWESTERN PIPELINE COMPANY</w:t>
      </w:r>
    </w:p>
    <w:p>
      <w:pPr>
        <w:pStyle w:val="Normal"/>
        <w:rPr>
          <w:sz w:val="24"/>
        </w:rPr>
      </w:pPr>
      <w:r>
        <w:rPr>
          <w:sz w:val="24"/>
        </w:rPr>
        <w:t>GATHERING INC.</w:t>
      </w:r>
    </w:p>
    <w:p>
      <w:pPr>
        <w:pStyle w:val="Normal"/>
        <w:rPr>
          <w:sz w:val="24"/>
        </w:rPr>
      </w:pPr>
      <w:r>
        <w:rPr>
          <w:sz w:val="24"/>
        </w:rPr>
      </w:r>
    </w:p>
    <w:p>
      <w:pPr>
        <w:pStyle w:val="Normal"/>
        <w:rPr>
          <w:sz w:val="24"/>
        </w:rPr>
      </w:pPr>
      <w:r>
        <w:rPr>
          <w:sz w:val="24"/>
        </w:rPr>
        <w:t>By:</w:t>
        <w:tab/>
        <w:t>_______________________</w:t>
        <w:tab/>
        <w:tab/>
        <w:t>By:</w:t>
        <w:tab/>
        <w:t>____________________________</w:t>
      </w:r>
    </w:p>
    <w:p>
      <w:pPr>
        <w:pStyle w:val="Normal"/>
        <w:rPr>
          <w:sz w:val="24"/>
        </w:rPr>
      </w:pPr>
      <w:r>
        <w:rPr>
          <w:sz w:val="24"/>
        </w:rPr>
        <w:tab/>
        <w:tab/>
        <w:tab/>
        <w:tab/>
        <w:tab/>
        <w:tab/>
        <w:tab/>
        <w:t>Steven M. Harris</w:t>
      </w:r>
    </w:p>
    <w:p>
      <w:pPr>
        <w:pStyle w:val="Normal"/>
        <w:rPr>
          <w:sz w:val="24"/>
        </w:rPr>
      </w:pPr>
      <w:r>
        <w:rPr>
          <w:sz w:val="24"/>
        </w:rPr>
        <w:tab/>
        <w:tab/>
        <w:tab/>
        <w:tab/>
        <w:tab/>
        <w:tab/>
        <w:tab/>
        <w:t>Vice President</w:t>
      </w:r>
    </w:p>
    <w:p>
      <w:pPr>
        <w:pStyle w:val="Normal"/>
        <w:rPr>
          <w:sz w:val="24"/>
        </w:rPr>
      </w:pPr>
      <w:r>
        <w:rPr>
          <w:sz w:val="24"/>
        </w:rPr>
        <w:tab/>
        <w:tab/>
        <w:tab/>
        <w:tab/>
        <w:tab/>
        <w:tab/>
        <w:tab/>
        <w:t>Transwestern Commercial Group</w:t>
      </w:r>
    </w:p>
    <w:p>
      <w:pPr>
        <w:pStyle w:val="Normal"/>
        <w:rPr>
          <w:sz w:val="24"/>
        </w:rPr>
      </w:pPr>
      <w:r>
        <w:rPr>
          <w:sz w:val="24"/>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sz w:val="24"/>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keepNext w:val="true"/>
      <w:numPr>
        <w:ilvl w:val="6"/>
        <w:numId w:val="1"/>
      </w:numPr>
      <w:jc w:val="center"/>
      <w:outlineLvl w:val="6"/>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Index1">
    <w:name w:val="index 1"/>
    <w:basedOn w:val="Normal"/>
    <w:next w:val="Normal"/>
    <w:pPr>
      <w:ind w:hanging="200" w:start="200" w:end="0"/>
    </w:pPr>
    <w:rPr/>
  </w:style>
  <w:style w:type="paragraph" w:styleId="Index2">
    <w:name w:val="index 2"/>
    <w:basedOn w:val="Normal"/>
    <w:next w:val="Normal"/>
    <w:pPr>
      <w:ind w:hanging="200" w:start="400" w:end="0"/>
    </w:pPr>
    <w:rPr/>
  </w:style>
  <w:style w:type="paragraph" w:styleId="Index3">
    <w:name w:val="index 3"/>
    <w:basedOn w:val="Normal"/>
    <w:next w:val="Normal"/>
    <w:pPr>
      <w:ind w:hanging="200" w:start="600" w:end="0"/>
    </w:pPr>
    <w:rPr/>
  </w:style>
  <w:style w:type="paragraph" w:styleId="Index4">
    <w:name w:val="Index 4"/>
    <w:basedOn w:val="Normal"/>
    <w:next w:val="Normal"/>
    <w:qFormat/>
    <w:pPr>
      <w:ind w:hanging="200" w:start="800" w:end="0"/>
    </w:pPr>
    <w:rPr/>
  </w:style>
  <w:style w:type="paragraph" w:styleId="Index5">
    <w:name w:val="Index 5"/>
    <w:basedOn w:val="Normal"/>
    <w:next w:val="Normal"/>
    <w:qFormat/>
    <w:pPr>
      <w:ind w:hanging="200" w:start="1000" w:end="0"/>
    </w:pPr>
    <w:rPr/>
  </w:style>
  <w:style w:type="paragraph" w:styleId="Index6">
    <w:name w:val="Index 6"/>
    <w:basedOn w:val="Normal"/>
    <w:next w:val="Normal"/>
    <w:qFormat/>
    <w:pPr>
      <w:ind w:hanging="200" w:start="1200" w:end="0"/>
    </w:pPr>
    <w:rPr/>
  </w:style>
  <w:style w:type="paragraph" w:styleId="Index7">
    <w:name w:val="Index 7"/>
    <w:basedOn w:val="Normal"/>
    <w:next w:val="Normal"/>
    <w:qFormat/>
    <w:pPr>
      <w:ind w:hanging="200" w:start="1400" w:end="0"/>
    </w:pPr>
    <w:rPr/>
  </w:style>
  <w:style w:type="paragraph" w:styleId="Index8">
    <w:name w:val="Index 8"/>
    <w:basedOn w:val="Normal"/>
    <w:next w:val="Normal"/>
    <w:qFormat/>
    <w:pPr>
      <w:ind w:hanging="200" w:start="1600" w:end="0"/>
    </w:pPr>
    <w:rPr/>
  </w:style>
  <w:style w:type="paragraph" w:styleId="Index9">
    <w:name w:val="Index 9"/>
    <w:basedOn w:val="Normal"/>
    <w:next w:val="Normal"/>
    <w:qFormat/>
    <w:pPr>
      <w:ind w:hanging="200" w:start="1800" w:end="0"/>
    </w:pPr>
    <w:rPr/>
  </w:style>
  <w:style w:type="paragraph" w:styleId="IndexHeading">
    <w:name w:val="index heading"/>
    <w:basedOn w:val="Normal"/>
    <w:next w:val="Index1"/>
    <w:pPr/>
    <w:rPr/>
  </w:style>
  <w:style w:type="paragraph" w:styleId="BlockText">
    <w:name w:val="Block Text"/>
    <w:basedOn w:val="Normal"/>
    <w:qFormat/>
    <w:pPr>
      <w:ind w:hanging="0" w:start="720" w:end="36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2000-10-25T17:45:00Z</dcterms:created>
  <dc:creator>Lorraine Lindberg</dc:creator>
  <dc:description/>
  <dc:language>en-CA</dc:language>
  <cp:lastModifiedBy>Susan Scott</cp:lastModifiedBy>
  <cp:lastPrinted>2000-08-11T14:56:00Z</cp:lastPrinted>
  <dcterms:modified xsi:type="dcterms:W3CDTF">2000-11-07T13:15:00Z</dcterms:modified>
  <cp:revision>4</cp:revision>
  <dc:subject/>
  <dc:title>January 21, 2000</dc:title>
</cp:coreProperties>
</file>