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BRYSON, JESSE</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WILLIAMS, WILLIAM J</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WEST PWR - WEST ORIG - PORTLAND</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OCT 25, 1999</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APR 16, 2001</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w:enabled/>
                  <w:calcOnExit w:val="0"/>
                  <w:textInput/>
                </w:ffData>
              </w:fldChar>
            </w:r>
            <w:r>
              <w:rPr>
                <w:sz w:val="18"/>
                <w:shd w:fill="FFFFFF" w:val="clear"/>
                <w:rFonts w:cs="Arial" w:ascii="Arial" w:hAnsi="Arial"/>
              </w:rPr>
              <w:instrText xml:space="preserve"> FORMTEXT </w:instrText>
            </w:r>
            <w:r>
              <w:rPr>
                <w:rFonts w:cs="Arial" w:ascii="Arial" w:hAnsi="Arial"/>
                <w:sz w:val="18"/>
                <w:shd w:fill="FFFFFF" w:val="clear"/>
              </w:rPr>
            </w:r>
            <w:r>
              <w:rPr>
                <w:sz w:val="18"/>
                <w:shd w:fill="FFFFFF" w:val="clear"/>
                <w:rFonts w:cs="Arial" w:ascii="Arial" w:hAnsi="Arial"/>
              </w:rPr>
              <w:fldChar w:fldCharType="separate"/>
            </w:r>
            <w:r>
              <w:rPr>
                <w:rFonts w:cs="Arial" w:ascii="Arial" w:hAnsi="Arial"/>
                <w:sz w:val="18"/>
                <w:shd w:fill="FFFFFF" w:val="clear"/>
              </w:rPr>
              <w:t>     </w:t>
            </w:r>
            <w:r>
              <w:rPr>
                <w:rFonts w:cs="Arial" w:ascii="Arial" w:hAnsi="Arial"/>
                <w:sz w:val="18"/>
                <w:shd w:fill="FFFFFF" w:val="clear"/>
              </w:rPr>
            </w:r>
            <w:r>
              <w:rPr>
                <w:sz w:val="18"/>
                <w:shd w:fill="FFFFFF" w:val="clear"/>
                <w:rFonts w:cs="Arial" w:ascii="Arial" w:hAnsi="Arial"/>
              </w:rPr>
              <w:fldChar w:fldCharType="end"/>
            </w:r>
            <w:r>
              <w:rPr>
                <w:rFonts w:cs="Arial" w:ascii="Arial" w:hAnsi="Arial"/>
                <w:sz w:val="18"/>
              </w:rPr>
              <w:t>This is an area of strength. Jesse possesses strong organizational and time management skills. He works well on many different projects and can be depended on to get the job done. He has the ability to actively manage several tasks and can be counted on to come up with excellent results. His attention to detail is good and he has first hand knowledge of how all of the different pieces of the trading floor fit together. Jesse’s ability to coordinate efforts across the different desks enabled Real-Time to meet important deadlines.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did an excellent job of taking a complex task (RT tagging) and introducing it to the group.  Jesse worked with other groups at Enron to attend conferences, provide training, create tagging templates and implement Real Time tagging. Jesse introduced the Bloomberg trading engine to the Real-Time group and pushed the members of the real-time group to develop and implement new strategies.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rPr>
              <w:t>Jesse has outstanding communication skills. Jesse is professional with trading counterparties and has furthered Enron’s relationships with service customers such as El Paso Electric.  He worked well with Volume and Dispute Management groups, and pushed newer members of the group to utilize all the resources available to them.</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used his knowledge and experience to provide leadership in the real-time group in a volatile market. Jesse facilitated the transfer of information in the group and across Enron.  He led the move to real-time tagging and spent time developing improvements to the group’s report reconciliation methodology.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 xml:space="preserve">Teamwork and interpersonal skills are a strong point of Jesse’s. He communicated well in the group and treated others with respect. Jesse provided valuable feedback on group direction and promoted a team environment with his work ethic and relaxed personality.  Jesse remained objective when dealing with difficult counterparties or situations.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5"/>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has solid analytical skills and could capably perform all functions of the real-time trading group. Jesse put in significant time trouble shooting and improving real-time reports. His technical knowledge was a valuable asset in settling the large volume of transactions and managing price risk at the beginning of the year. Jesse understood the real-time market; he was able to interpret fundamentals, read market trends and trade profitably.</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6"/>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is ambitious and has recently moved to the Renewables desk.  His desire to learn and ability to take advantage of all available resources will serve him well in his new position.</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7"/>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led the group to Real-Time tagging, introduced electronic trading on Bloomberg and played a key role in the education of newer members of the group.  Jesse worked with multiple groups on the West Desk to improve volume and dispute management for the hourly desk. Jesse has a complete understanding of the real-time market, from financial to physical.</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fldChar w:fldCharType="begin">
                <w:ffData>
                  <w:name w:val="Text1 Copy 8"/>
                  <w:enabled/>
                  <w:calcOnExit w:val="0"/>
                  <w:textInput/>
                </w:ffData>
              </w:fldChar>
            </w:r>
            <w:r>
              <w:rPr>
                <w:sz w:val="18"/>
                <w:shd w:fill="FFFFFF" w:val="clear"/>
                <w:rFonts w:cs="Arial" w:ascii="Arial" w:hAnsi="Arial"/>
              </w:rPr>
              <w:instrText xml:space="preserve"> FORMTEXT </w:instrText>
            </w:r>
            <w:r>
              <w:rPr>
                <w:rFonts w:cs="Arial" w:ascii="Arial" w:hAnsi="Arial"/>
                <w:sz w:val="18"/>
                <w:shd w:fill="FFFFFF" w:val="clear"/>
              </w:rPr>
            </w:r>
            <w:r>
              <w:rPr>
                <w:sz w:val="18"/>
                <w:shd w:fill="FFFFFF" w:val="clear"/>
                <w:rFonts w:cs="Arial" w:ascii="Arial" w:hAnsi="Arial"/>
              </w:rPr>
              <w:fldChar w:fldCharType="separate"/>
            </w:r>
            <w:r>
              <w:rPr>
                <w:rFonts w:cs="Arial" w:ascii="Arial" w:hAnsi="Arial"/>
                <w:sz w:val="18"/>
                <w:shd w:fill="FFFFFF" w:val="clear"/>
              </w:rPr>
              <w:t>     </w:t>
            </w:r>
            <w:r>
              <w:rPr>
                <w:rFonts w:cs="Arial" w:ascii="Arial" w:hAnsi="Arial"/>
                <w:sz w:val="18"/>
                <w:shd w:fill="FFFFFF" w:val="clear"/>
              </w:rPr>
            </w:r>
            <w:r>
              <w:rPr>
                <w:sz w:val="18"/>
                <w:shd w:fill="FFFFFF" w:val="clear"/>
                <w:rFonts w:cs="Arial" w:ascii="Arial" w:hAnsi="Arial"/>
              </w:rPr>
              <w:fldChar w:fldCharType="end"/>
            </w:r>
            <w:r>
              <w:rPr>
                <w:rFonts w:cs="Arial" w:ascii="Arial" w:hAnsi="Arial"/>
                <w:sz w:val="18"/>
                <w:shd w:fill="FFFFFF" w:val="clear"/>
              </w:rPr>
              <w:t xml:space="preserve"> Jesse did an excellent job as a trader on shift, and improved the volume and settlement management of the group off shift.  He was an asset to the group in both capacities.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9"/>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did an excellent job of helping the group in the transition to real-time tagging. He successfully acted as a point man on dispute and volume management and worked with IT to improve reconciliation reports.  He helped implement new strategies and added significant value to the group.</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Continue to develop and refine analytical skills. Continue thinking about commercial direction he wants to take in the organization. Treat senior level people with more respect.</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Continue to work with Structuring to develop insight into financing side of energy business. Take ownership of lines of research related to wind scheduling and mobilize West Power to deal with such issues.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Bring together different members of the office into an effective working group to address relevant logistics issues.</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0"/>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2001-08-10T14:00:00Z</dcterms:created>
  <dc:creator>Performance Management</dc:creator>
  <dc:description/>
  <dc:language>en-CA</dc:language>
  <cp:lastModifiedBy>emainze</cp:lastModifiedBy>
  <cp:lastPrinted>2001-04-11T15:47:00Z</cp:lastPrinted>
  <dcterms:modified xsi:type="dcterms:W3CDTF">2001-08-10T14:00:00Z</dcterms:modified>
  <cp:revision>2</cp:revision>
  <dc:subject/>
  <dc:title> </dc:title>
</cp:coreProperties>
</file>