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 “Purchase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WHEREAS, Enron desires to make available the Website for use by persons other than Counterparties (collectively, “Brokers”) who may select products, prices, quantifies,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utilizing the user ID and Password provided by Enron to access the Website, and then by selecting “Broker Acceptance” in the appropriate location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Transactions at prices and quantities, and upon terms and conditions, available on the Website and Executed by the Broker.  Broker shall access and utilize the Website solely to Execute prices, quantities and other terms and conditions only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has all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or course of dealing (each, a “Participant Agreement”) that may exist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Each such binding agreement shall be a Purchase Agreement.  Neither the Operative Agreement nor the Purchase Agreement is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settle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Purchase Agreement (or if no such Purchase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on the earlier of (i) the date Participant affirmatively repudiates or otherwise notifies Enron that it is not bound to the terms of the Transaction, or (ii) the date Broker informs Enron that the Execution has not resulted in a binding Transaction or (iii)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1440" w:end="0"/>
        <w:jc w:val="start"/>
        <w:rPr/>
      </w:pPr>
      <w:r>
        <w:rPr>
          <w:sz w:val="22"/>
        </w:rPr>
        <w:t>(g)</w:t>
        <w:tab/>
      </w:r>
      <w:r>
        <w:rPr>
          <w:b w:val="false"/>
          <w:sz w:val="22"/>
        </w:rPr>
        <w:t>Broker will deliver to Enron one or more letters of credit from financial institutions and in a form acceptable to Enron.  Enron in its sole discretion will establish an Execution headroom for Broker based upon the balance of Broker’s posted credit support, Broker’s financial condition and any other criteria that Enron deems prudent.  Enron will use reasonable business judgement in determining the level of Execution headroom.  Prior to Enron accepting or confirming an Execution by Broker, Enron will verify that Broker has adequate Execution headroom to secure the Execution should it not be confirmed by the Participant.  If in Enron’s sole discretion the Execution headroom is not sufficient to secure the Execution, Enron may refuse to accept the Execution.  Amerex agrees to furnish Enron, upon request, a copy of its financial statements for use in calculating Amerex’s Execution headroom.</w:t>
      </w:r>
    </w:p>
    <w:p>
      <w:pPr>
        <w:pStyle w:val="Normal"/>
        <w:rPr>
          <w:b/>
          <w:sz w:val="22"/>
        </w:rPr>
      </w:pPr>
      <w:r>
        <w:rPr>
          <w:b/>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On the day of each Execution Broker will (i) verify each Execution with the relevant Counterparty by telephone, (ii) notify Enron of such verification by telephone and (iii) deliver to Enron a written summary of all Executions which occurred on such day.  Broker agrees that it will record all telephone conversations with Counterparties regarding Transactions and will make copies of such recordings available to Enron on reasonable request.  </w:t>
      </w:r>
    </w:p>
    <w:p>
      <w:pPr>
        <w:pStyle w:val="Normal"/>
        <w:widowControl/>
        <w:ind w:firstLine="1440" w:end="0"/>
        <w:jc w:val="both"/>
        <w:rPr>
          <w:sz w:val="22"/>
        </w:rPr>
      </w:pPr>
      <w:r>
        <w:rPr>
          <w:sz w:val="22"/>
        </w:rPr>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2000-12-06T19:02:00Z</dcterms:created>
  <dc:creator>mtaylo1</dc:creator>
  <dc:description/>
  <dc:language>en-CA</dc:language>
  <cp:lastModifiedBy>rshults</cp:lastModifiedBy>
  <cp:lastPrinted>2000-12-05T14:08:00Z</cp:lastPrinted>
  <dcterms:modified xsi:type="dcterms:W3CDTF">2000-12-06T19:02:00Z</dcterms:modified>
  <cp:revision>2</cp:revision>
  <dc:subject/>
  <dc:title/>
</cp:coreProperties>
</file>