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b/>
          <w:sz w:val="28"/>
          <w:u w:val="single"/>
        </w:rPr>
      </w:pPr>
      <w:r>
        <w:rPr>
          <w:b/>
          <w:sz w:val="28"/>
          <w:u w:val="single"/>
        </w:rPr>
        <w:t>REQUEST FOR ADVICE</w:t>
      </w:r>
      <w:r>
        <mc:AlternateContent>
          <mc:Choice Requires="wps">
            <w:drawing>
              <wp:anchor behindDoc="0" distT="0" distB="0" distL="114935" distR="114935" simplePos="0" locked="0" layoutInCell="1" allowOverlap="1" relativeHeight="2">
                <wp:simplePos x="0" y="0"/>
                <wp:positionH relativeFrom="column">
                  <wp:posOffset>3607435</wp:posOffset>
                </wp:positionH>
                <wp:positionV relativeFrom="paragraph">
                  <wp:posOffset>-278765</wp:posOffset>
                </wp:positionV>
                <wp:extent cx="1380490" cy="374650"/>
                <wp:effectExtent l="0" t="0" r="0" b="0"/>
                <wp:wrapNone/>
                <wp:docPr id="1" name="Frame1"/>
                <a:graphic xmlns:a="http://schemas.openxmlformats.org/drawingml/2006/main">
                  <a:graphicData uri="http://schemas.microsoft.com/office/word/2010/wordprocessingShape">
                    <wps:wsp>
                      <wps:cNvSpPr txBox="1"/>
                      <wps:spPr>
                        <a:xfrm>
                          <a:off x="0" y="0"/>
                          <a:ext cx="1380490" cy="374650"/>
                        </a:xfrm>
                        <a:prstGeom prst="rect"/>
                        <a:solidFill>
                          <a:srgbClr val="FFFFFF"/>
                        </a:solidFill>
                        <a:ln w="9525">
                          <a:solidFill>
                            <a:srgbClr val="000000"/>
                          </a:solidFill>
                        </a:ln>
                      </wps:spPr>
                      <wps:txbx>
                        <w:txbxContent>
                          <w:p>
                            <w:pPr>
                              <w:pStyle w:val="Normal"/>
                              <w:jc w:val="center"/>
                              <w:rPr>
                                <w:b/>
                                <w:sz w:val="28"/>
                              </w:rPr>
                            </w:pPr>
                            <w:r>
                              <w:rPr>
                                <w:b/>
                                <w:sz w:val="28"/>
                              </w:rPr>
                              <w:t>Draft</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29.5pt;mso-wrap-distance-left:9.05pt;mso-wrap-distance-right:9.05pt;mso-wrap-distance-top:0pt;mso-wrap-distance-bottom:0pt;margin-top:-21.95pt;mso-position-vertical-relative:text;margin-left:284.05pt;mso-position-horizontal-relative:text">
                <v:textbox>
                  <w:txbxContent>
                    <w:p>
                      <w:pPr>
                        <w:pStyle w:val="Normal"/>
                        <w:jc w:val="center"/>
                        <w:rPr>
                          <w:b/>
                          <w:sz w:val="28"/>
                        </w:rPr>
                      </w:pPr>
                      <w:r>
                        <w:rPr>
                          <w:b/>
                          <w:sz w:val="28"/>
                        </w:rPr>
                        <w:t>Draft</w:t>
                      </w:r>
                    </w:p>
                  </w:txbxContent>
                </v:textbox>
                <w10:wrap type="none"/>
              </v:rect>
            </w:pict>
          </mc:Fallback>
        </mc:AlternateContent>
      </w:r>
    </w:p>
    <w:p>
      <w:pPr>
        <w:pStyle w:val="Normal"/>
        <w:jc w:val="both"/>
        <w:rPr>
          <w:b/>
          <w:sz w:val="24"/>
          <w:u w:val="single"/>
        </w:rPr>
      </w:pPr>
      <w:r>
        <w:rPr>
          <w:b/>
          <w:sz w:val="24"/>
          <w:u w:val="single"/>
        </w:rPr>
      </w:r>
    </w:p>
    <w:p>
      <w:pPr>
        <w:pStyle w:val="Subtitle"/>
        <w:jc w:val="both"/>
        <w:rPr>
          <w:u w:val="single"/>
        </w:rPr>
      </w:pPr>
      <w:r>
        <w:rPr>
          <w:u w:val="single"/>
        </w:rPr>
        <w:t>Introduction of “EnronOnline” to Australia</w:t>
      </w:r>
    </w:p>
    <w:p>
      <w:pPr>
        <w:pStyle w:val="Normal"/>
        <w:jc w:val="both"/>
        <w:rPr>
          <w:sz w:val="24"/>
          <w:u w:val="single"/>
        </w:rPr>
      </w:pPr>
      <w:r>
        <w:rPr>
          <w:sz w:val="24"/>
          <w:u w:val="single"/>
        </w:rPr>
      </w:r>
    </w:p>
    <w:p>
      <w:pPr>
        <w:pStyle w:val="Heading1"/>
        <w:ind w:hanging="0" w:start="0"/>
        <w:jc w:val="both"/>
        <w:rPr/>
      </w:pPr>
      <w:r>
        <w:rPr/>
        <w:t>Background</w:t>
      </w:r>
    </w:p>
    <w:p>
      <w:pPr>
        <w:pStyle w:val="Normal"/>
        <w:jc w:val="both"/>
        <w:rPr>
          <w:sz w:val="24"/>
        </w:rPr>
      </w:pPr>
      <w:r>
        <w:rPr>
          <w:sz w:val="24"/>
        </w:rPr>
      </w:r>
    </w:p>
    <w:p>
      <w:pPr>
        <w:pStyle w:val="Normal"/>
        <w:numPr>
          <w:ilvl w:val="0"/>
          <w:numId w:val="3"/>
        </w:numPr>
        <w:jc w:val="both"/>
        <w:rPr>
          <w:sz w:val="24"/>
        </w:rPr>
      </w:pPr>
      <w:r>
        <w:rPr>
          <w:sz w:val="24"/>
        </w:rPr>
        <w:t xml:space="preserve">Enron has embarked on a worldwide initiative to develop and implement an online trading system using the Internet for all products it currently trades.  This project is called EnronOnline. A preview is available on the net at </w:t>
      </w:r>
      <w:hyperlink r:id="rId2">
        <w:r>
          <w:rPr>
            <w:rStyle w:val="Hyperlink"/>
            <w:sz w:val="24"/>
          </w:rPr>
          <w:t>www.enrononline.com</w:t>
        </w:r>
      </w:hyperlink>
      <w:r>
        <w:rPr>
          <w:sz w:val="24"/>
        </w:rPr>
        <w:t>.</w:t>
      </w:r>
    </w:p>
    <w:p>
      <w:pPr>
        <w:pStyle w:val="Normal"/>
        <w:jc w:val="both"/>
        <w:rPr>
          <w:sz w:val="24"/>
        </w:rPr>
      </w:pPr>
      <w:r>
        <w:rPr>
          <w:sz w:val="24"/>
        </w:rPr>
      </w:r>
    </w:p>
    <w:p>
      <w:pPr>
        <w:pStyle w:val="Normal"/>
        <w:numPr>
          <w:ilvl w:val="0"/>
          <w:numId w:val="3"/>
        </w:numPr>
        <w:jc w:val="both"/>
        <w:rPr>
          <w:sz w:val="24"/>
        </w:rPr>
      </w:pPr>
      <w:r>
        <w:rPr>
          <w:sz w:val="24"/>
        </w:rPr>
        <w:t xml:space="preserve">In the United States there has already been some limited trading using EnronOnline. Over the next few months it is planned to extend EnronOnline to all Enron traded  physical and financial products. </w:t>
      </w:r>
    </w:p>
    <w:p>
      <w:pPr>
        <w:pStyle w:val="Normal"/>
        <w:jc w:val="both"/>
        <w:rPr>
          <w:sz w:val="24"/>
        </w:rPr>
      </w:pPr>
      <w:r>
        <w:rPr>
          <w:sz w:val="24"/>
        </w:rPr>
      </w:r>
    </w:p>
    <w:p>
      <w:pPr>
        <w:pStyle w:val="Normal"/>
        <w:numPr>
          <w:ilvl w:val="0"/>
          <w:numId w:val="3"/>
        </w:numPr>
        <w:jc w:val="both"/>
        <w:rPr>
          <w:sz w:val="24"/>
        </w:rPr>
      </w:pPr>
      <w:r>
        <w:rPr>
          <w:sz w:val="24"/>
        </w:rPr>
        <w:t xml:space="preserve">Enron’s Australian  operations will be one of the last segments of  Enron’s trading business to be included. This is forecast for February 2000. Initially trading will be limited to Enron current trading activities in financial derivates linked to electricity prices. Other products such as foreign exchange, interest rates, crude oil  prices and weather derivatives may be added.  </w:t>
      </w:r>
    </w:p>
    <w:p>
      <w:pPr>
        <w:pStyle w:val="Normal"/>
        <w:jc w:val="both"/>
        <w:rPr>
          <w:sz w:val="24"/>
        </w:rPr>
      </w:pPr>
      <w:r>
        <w:rPr>
          <w:sz w:val="24"/>
        </w:rPr>
      </w:r>
    </w:p>
    <w:p>
      <w:pPr>
        <w:pStyle w:val="Normal"/>
        <w:jc w:val="both"/>
        <w:rPr>
          <w:sz w:val="24"/>
        </w:rPr>
      </w:pPr>
      <w:r>
        <w:rPr>
          <w:sz w:val="24"/>
        </w:rPr>
      </w:r>
    </w:p>
    <w:p>
      <w:pPr>
        <w:pStyle w:val="Heading1"/>
        <w:ind w:hanging="0" w:start="0"/>
        <w:jc w:val="both"/>
        <w:rPr/>
      </w:pPr>
      <w:r>
        <w:rPr/>
        <w:t>Operation of Enron Online</w:t>
      </w:r>
    </w:p>
    <w:p>
      <w:pPr>
        <w:pStyle w:val="Normal"/>
        <w:jc w:val="both"/>
        <w:rPr>
          <w:sz w:val="24"/>
        </w:rPr>
      </w:pPr>
      <w:r>
        <w:rPr>
          <w:sz w:val="24"/>
        </w:rPr>
      </w:r>
    </w:p>
    <w:p>
      <w:pPr>
        <w:pStyle w:val="Normal"/>
        <w:numPr>
          <w:ilvl w:val="0"/>
          <w:numId w:val="2"/>
        </w:numPr>
        <w:jc w:val="both"/>
        <w:rPr>
          <w:sz w:val="24"/>
        </w:rPr>
      </w:pPr>
      <w:r>
        <w:rPr>
          <w:sz w:val="24"/>
        </w:rPr>
        <w:t>The basic principle of EnronOnline is that counterparties may make on line offers  to Enron in respect of  one of the products listed on the screen. Enron may accept this offer through an on line response thereby forming a contract.</w:t>
      </w:r>
    </w:p>
    <w:p>
      <w:pPr>
        <w:pStyle w:val="Normal"/>
        <w:jc w:val="both"/>
        <w:rPr>
          <w:sz w:val="24"/>
        </w:rPr>
      </w:pPr>
      <w:r>
        <w:rPr>
          <w:sz w:val="24"/>
        </w:rPr>
      </w:r>
    </w:p>
    <w:p>
      <w:pPr>
        <w:pStyle w:val="Normal"/>
        <w:numPr>
          <w:ilvl w:val="0"/>
          <w:numId w:val="2"/>
        </w:numPr>
        <w:jc w:val="both"/>
        <w:rPr>
          <w:sz w:val="24"/>
        </w:rPr>
      </w:pPr>
      <w:r>
        <w:rPr>
          <w:sz w:val="24"/>
        </w:rPr>
        <w:t xml:space="preserve">A potential counterparty wishing to trade through EnronOnline contacts Enron and fills out a registration form. Enron will make its credit assessment on the counterparty. If accepted the counterparty is required to sign a password agreement (see attached example) and is issued a password.  </w:t>
      </w:r>
    </w:p>
    <w:p>
      <w:pPr>
        <w:pStyle w:val="Normal"/>
        <w:jc w:val="both"/>
        <w:rPr>
          <w:sz w:val="24"/>
        </w:rPr>
      </w:pPr>
      <w:r>
        <w:rPr>
          <w:sz w:val="24"/>
        </w:rPr>
      </w:r>
    </w:p>
    <w:p>
      <w:pPr>
        <w:pStyle w:val="Normal"/>
        <w:numPr>
          <w:ilvl w:val="0"/>
          <w:numId w:val="2"/>
        </w:numPr>
        <w:jc w:val="both"/>
        <w:rPr>
          <w:sz w:val="24"/>
        </w:rPr>
      </w:pPr>
      <w:r>
        <w:rPr>
          <w:sz w:val="24"/>
        </w:rPr>
        <w:t xml:space="preserve">The first time a counterparty logs onto the system with its approved password it will be required to agree to an electronic trading Agreement (ETA) by clicking the “I Agree” Box after scrolling thought the Agreement. (An example is attached). </w:t>
      </w:r>
    </w:p>
    <w:p>
      <w:pPr>
        <w:pStyle w:val="Normal"/>
        <w:jc w:val="both"/>
        <w:rPr>
          <w:sz w:val="24"/>
        </w:rPr>
      </w:pPr>
      <w:r>
        <w:rPr>
          <w:sz w:val="24"/>
        </w:rPr>
      </w:r>
    </w:p>
    <w:p>
      <w:pPr>
        <w:pStyle w:val="Normal"/>
        <w:numPr>
          <w:ilvl w:val="0"/>
          <w:numId w:val="2"/>
        </w:numPr>
        <w:jc w:val="both"/>
        <w:rPr>
          <w:sz w:val="24"/>
        </w:rPr>
      </w:pPr>
      <w:r>
        <w:rPr>
          <w:sz w:val="24"/>
        </w:rPr>
        <w:t>For each traded product there will be available online a set of contract terms known as “General Terms and Conditions” (GTC’s).  These will apply to online transactions if there is no master agreement in place between the counterparty and the relevant Enron entity.  There is likely to be two sets of GTC’s for each product. One set will be applicable to counterparties with a good credit rating and will have few credit provisions included. A second set will include a provision to allow Enron to call for collateral.  In respect of a counterparty logging on they will only see the relevant GTC’s for them.</w:t>
      </w:r>
    </w:p>
    <w:p>
      <w:pPr>
        <w:pStyle w:val="Normal"/>
        <w:jc w:val="both"/>
        <w:rPr>
          <w:sz w:val="24"/>
        </w:rPr>
      </w:pPr>
      <w:r>
        <w:rPr>
          <w:sz w:val="24"/>
        </w:rPr>
      </w:r>
    </w:p>
    <w:p>
      <w:pPr>
        <w:pStyle w:val="Normal"/>
        <w:numPr>
          <w:ilvl w:val="0"/>
          <w:numId w:val="2"/>
        </w:numPr>
        <w:jc w:val="both"/>
        <w:rPr>
          <w:sz w:val="24"/>
        </w:rPr>
      </w:pPr>
      <w:r>
        <w:rPr>
          <w:sz w:val="24"/>
        </w:rPr>
        <w:t>For each product  a description will be provided. Contact details will also given where any questions on the product are to be directed.</w:t>
      </w:r>
    </w:p>
    <w:p>
      <w:pPr>
        <w:pStyle w:val="Normal"/>
        <w:jc w:val="both"/>
        <w:rPr>
          <w:sz w:val="24"/>
        </w:rPr>
      </w:pPr>
      <w:r>
        <w:rPr>
          <w:sz w:val="24"/>
        </w:rPr>
      </w:r>
    </w:p>
    <w:p>
      <w:pPr>
        <w:pStyle w:val="Normal"/>
        <w:numPr>
          <w:ilvl w:val="0"/>
          <w:numId w:val="2"/>
        </w:numPr>
        <w:jc w:val="both"/>
        <w:rPr>
          <w:sz w:val="24"/>
        </w:rPr>
      </w:pPr>
      <w:r>
        <w:rPr>
          <w:sz w:val="24"/>
        </w:rPr>
        <w:t>The products which the counterparty can see will be “filtered”.  So in the case of Australian counterparties they initially only see various Australian electricity  derivative products.</w:t>
      </w:r>
    </w:p>
    <w:p>
      <w:pPr>
        <w:pStyle w:val="Normal"/>
        <w:jc w:val="both"/>
        <w:rPr>
          <w:sz w:val="24"/>
        </w:rPr>
      </w:pPr>
      <w:r>
        <w:rPr>
          <w:sz w:val="24"/>
        </w:rPr>
      </w:r>
    </w:p>
    <w:p>
      <w:pPr>
        <w:pStyle w:val="Normal"/>
        <w:numPr>
          <w:ilvl w:val="0"/>
          <w:numId w:val="2"/>
        </w:numPr>
        <w:jc w:val="both"/>
        <w:rPr>
          <w:sz w:val="24"/>
        </w:rPr>
      </w:pPr>
      <w:r>
        <w:rPr>
          <w:sz w:val="24"/>
        </w:rPr>
        <w:t>A counterparty may transact through EnronOnline by “clicking” and submitting an online offer to Enron.  The offer may or may not be accepted by Enron. The counterparty will receive notification that either the trade was successful or that their offer was not accepted.  The most likely reason for an offer not being accepted is either that the price has moved between the time the counterparty submitted its offer to Enron or that the credit of the counterparty is not sufficient for the purposes of the proposed transaction.</w:t>
      </w:r>
    </w:p>
    <w:p>
      <w:pPr>
        <w:pStyle w:val="Normal"/>
        <w:jc w:val="both"/>
        <w:rPr>
          <w:sz w:val="24"/>
        </w:rPr>
      </w:pPr>
      <w:r>
        <w:rPr>
          <w:sz w:val="24"/>
        </w:rPr>
      </w:r>
    </w:p>
    <w:p>
      <w:pPr>
        <w:pStyle w:val="Normal"/>
        <w:numPr>
          <w:ilvl w:val="0"/>
          <w:numId w:val="2"/>
        </w:numPr>
        <w:jc w:val="both"/>
        <w:rPr>
          <w:sz w:val="24"/>
        </w:rPr>
      </w:pPr>
      <w:r>
        <w:rPr>
          <w:sz w:val="24"/>
        </w:rPr>
        <w:t xml:space="preserve">In the case of Australia it is initially planned to trade only electricity derivatives of the type covered by the 1999  Exempt Market Declaration.  The trading party will continue to be Enron Australia Finance Pty Ltd, a Registered Facility Provider under the Exempt Market Declaration.  At some later stage trading may be extended to weather, interest rate, currency and crude oil price derivatives .  </w:t>
      </w:r>
    </w:p>
    <w:p>
      <w:pPr>
        <w:pStyle w:val="Normal"/>
        <w:jc w:val="both"/>
        <w:rPr>
          <w:sz w:val="24"/>
        </w:rPr>
      </w:pPr>
      <w:r>
        <w:rPr>
          <w:sz w:val="24"/>
        </w:rPr>
      </w:r>
    </w:p>
    <w:p>
      <w:pPr>
        <w:pStyle w:val="BodyText"/>
        <w:ind w:hanging="720" w:start="720" w:end="0"/>
        <w:rPr/>
      </w:pPr>
      <w:r>
        <w:rPr/>
        <w:t>8.</w:t>
        <w:tab/>
        <w:t>The Enron quotes for Australian electricity derivatives and other Australian products will be input onto the screen by personnel located in Enron’s offices in Sydney.  However, it is probable that servers on which EnronOnline operates  will be located in the United States or another foreign jurisdiction.</w:t>
      </w:r>
    </w:p>
    <w:p>
      <w:pPr>
        <w:pStyle w:val="Normal"/>
        <w:jc w:val="both"/>
        <w:rPr>
          <w:sz w:val="24"/>
        </w:rPr>
      </w:pPr>
      <w:r>
        <w:rPr>
          <w:sz w:val="24"/>
        </w:rPr>
      </w:r>
    </w:p>
    <w:p>
      <w:pPr>
        <w:pStyle w:val="Normal"/>
        <w:jc w:val="both"/>
        <w:rPr>
          <w:sz w:val="24"/>
        </w:rPr>
      </w:pPr>
      <w:r>
        <w:rPr>
          <w:sz w:val="24"/>
        </w:rPr>
      </w:r>
    </w:p>
    <w:p>
      <w:pPr>
        <w:pStyle w:val="Heading1"/>
        <w:ind w:hanging="0" w:start="0"/>
        <w:jc w:val="both"/>
        <w:rPr/>
      </w:pPr>
      <w:r>
        <w:rPr/>
        <w:t>Request for advice</w:t>
      </w:r>
    </w:p>
    <w:p>
      <w:pPr>
        <w:pStyle w:val="Normal"/>
        <w:jc w:val="both"/>
        <w:rPr>
          <w:sz w:val="24"/>
        </w:rPr>
      </w:pPr>
      <w:r>
        <w:rPr>
          <w:sz w:val="24"/>
        </w:rPr>
      </w:r>
    </w:p>
    <w:p>
      <w:pPr>
        <w:pStyle w:val="Normal"/>
        <w:jc w:val="both"/>
        <w:rPr>
          <w:sz w:val="24"/>
        </w:rPr>
      </w:pPr>
      <w:r>
        <w:rPr>
          <w:sz w:val="24"/>
        </w:rPr>
        <w:t>Your advice we request on the following points:</w:t>
      </w:r>
    </w:p>
    <w:p>
      <w:pPr>
        <w:pStyle w:val="Normal"/>
        <w:jc w:val="both"/>
        <w:rPr>
          <w:sz w:val="24"/>
        </w:rPr>
      </w:pPr>
      <w:r>
        <w:rPr>
          <w:sz w:val="24"/>
        </w:rPr>
      </w:r>
    </w:p>
    <w:p>
      <w:pPr>
        <w:pStyle w:val="Normal"/>
        <w:numPr>
          <w:ilvl w:val="0"/>
          <w:numId w:val="4"/>
        </w:numPr>
        <w:jc w:val="both"/>
        <w:rPr>
          <w:sz w:val="24"/>
        </w:rPr>
      </w:pPr>
      <w:r>
        <w:rPr>
          <w:sz w:val="24"/>
        </w:rPr>
        <w:t>Please confirm that the extension of EnronOnline to Australian electricity derivatives with EAF as the Enron counterparty will not present any new regulatory issues.  Naturally the existing requirements of the Exempt Market Declaration would be followed.  These include the following.</w:t>
      </w:r>
    </w:p>
    <w:p>
      <w:pPr>
        <w:pStyle w:val="Normal"/>
        <w:numPr>
          <w:ilvl w:val="0"/>
          <w:numId w:val="5"/>
        </w:numPr>
        <w:tabs>
          <w:tab w:val="clear" w:pos="720"/>
          <w:tab w:val="left" w:pos="1080" w:leader="none"/>
        </w:tabs>
        <w:ind w:hanging="360" w:start="1080" w:end="0"/>
        <w:jc w:val="both"/>
        <w:rPr>
          <w:sz w:val="24"/>
        </w:rPr>
      </w:pPr>
      <w:r>
        <w:rPr>
          <w:sz w:val="24"/>
        </w:rPr>
        <w:t>The requirement on EAF to provide an Enron Corp. Guaranty to counterparties.</w:t>
      </w:r>
    </w:p>
    <w:p>
      <w:pPr>
        <w:pStyle w:val="Normal"/>
        <w:numPr>
          <w:ilvl w:val="0"/>
          <w:numId w:val="5"/>
        </w:numPr>
        <w:tabs>
          <w:tab w:val="clear" w:pos="720"/>
          <w:tab w:val="left" w:pos="1080" w:leader="none"/>
        </w:tabs>
        <w:ind w:hanging="360" w:start="1080" w:end="0"/>
        <w:jc w:val="both"/>
        <w:rPr>
          <w:sz w:val="24"/>
        </w:rPr>
      </w:pPr>
      <w:r>
        <w:rPr>
          <w:sz w:val="24"/>
        </w:rPr>
        <w:t>EAF may only trade with other Registered Facility Providers or Approved Persons as defined in the Exempt Market Declaration.</w:t>
      </w:r>
    </w:p>
    <w:p>
      <w:pPr>
        <w:pStyle w:val="Normal"/>
        <w:numPr>
          <w:ilvl w:val="0"/>
          <w:numId w:val="5"/>
        </w:numPr>
        <w:tabs>
          <w:tab w:val="clear" w:pos="720"/>
          <w:tab w:val="left" w:pos="1080" w:leader="none"/>
        </w:tabs>
        <w:ind w:hanging="360" w:start="1080" w:end="0"/>
        <w:jc w:val="both"/>
        <w:rPr>
          <w:sz w:val="24"/>
        </w:rPr>
      </w:pPr>
      <w:r>
        <w:rPr>
          <w:sz w:val="24"/>
        </w:rPr>
        <w:t>Credit checks must be carried out on potential counterparties.</w:t>
      </w:r>
    </w:p>
    <w:p>
      <w:pPr>
        <w:pStyle w:val="Normal"/>
        <w:jc w:val="both"/>
        <w:rPr>
          <w:sz w:val="24"/>
        </w:rPr>
      </w:pPr>
      <w:r>
        <w:rPr>
          <w:sz w:val="24"/>
        </w:rPr>
      </w:r>
    </w:p>
    <w:p>
      <w:pPr>
        <w:pStyle w:val="Normal"/>
        <w:ind w:start="720" w:end="0"/>
        <w:jc w:val="both"/>
        <w:rPr/>
      </w:pPr>
      <w:r>
        <w:rPr>
          <w:sz w:val="24"/>
        </w:rPr>
        <w:t>The extension of EnronOnline to weather</w:t>
      </w:r>
      <w:r>
        <w:rPr>
          <w:rStyle w:val="FootnoteCharacters"/>
          <w:rStyle w:val="FootnoteReference"/>
          <w:sz w:val="24"/>
        </w:rPr>
        <w:footnoteReference w:id="2"/>
      </w:r>
      <w:r>
        <w:rPr>
          <w:sz w:val="24"/>
        </w:rPr>
        <w:t xml:space="preserve">, interest rate or currency or crude oil price derivatives between EAF (or another Enron entity incorporated and resident in Australia) and a counterparty with a presence in Australia may not require any specific regulatory approvals. Further exempt market declarations or a securities dealers licence would not be necessary if these transactions do not fall within the definition of a “futures contract” for the purposes of the </w:t>
      </w:r>
      <w:r>
        <w:rPr>
          <w:i/>
          <w:sz w:val="24"/>
        </w:rPr>
        <w:t>Corporations Law</w:t>
      </w:r>
      <w:r>
        <w:rPr>
          <w:sz w:val="24"/>
        </w:rPr>
        <w:t xml:space="preserve">. This is because the definitions of “eligible commodity agreement” and “adjustment agreement”, both of  which are used in the definition of “futures contract” only apply “standardised agreements”. This term is defined in the </w:t>
      </w:r>
      <w:r>
        <w:rPr>
          <w:i/>
          <w:sz w:val="24"/>
        </w:rPr>
        <w:t>Corporations La</w:t>
      </w:r>
      <w:r>
        <w:rPr>
          <w:sz w:val="24"/>
        </w:rPr>
        <w:t xml:space="preserve">w to mean “2 or more … agreements of … the </w:t>
      </w:r>
      <w:r>
        <w:fldChar w:fldCharType="begin"/>
      </w:r>
      <w:r>
        <w:rPr>
          <w:rStyle w:val="Hyperlink"/>
          <w:sz w:val="24"/>
        </w:rPr>
        <w:instrText xml:space="preserve"> HYPERLINK "../doc/s9.html" \l "same_kind"</w:instrText>
      </w:r>
      <w:r>
        <w:rPr>
          <w:rStyle w:val="Hyperlink"/>
          <w:sz w:val="24"/>
        </w:rPr>
        <w:fldChar w:fldCharType="separate"/>
      </w:r>
      <w:r>
        <w:rPr>
          <w:rStyle w:val="Hyperlink"/>
          <w:sz w:val="24"/>
        </w:rPr>
        <w:t>same kind</w:t>
      </w:r>
      <w:r>
        <w:rPr>
          <w:rStyle w:val="Hyperlink"/>
          <w:sz w:val="24"/>
        </w:rPr>
        <w:fldChar w:fldCharType="end"/>
      </w:r>
      <w:r>
        <w:rPr>
          <w:sz w:val="24"/>
        </w:rPr>
        <w:t xml:space="preserve"> as the other, or as each of the others, as the case may be.”</w:t>
      </w:r>
    </w:p>
    <w:p>
      <w:pPr>
        <w:pStyle w:val="Normal"/>
        <w:ind w:start="720" w:end="0"/>
        <w:jc w:val="both"/>
        <w:rPr>
          <w:sz w:val="24"/>
        </w:rPr>
      </w:pPr>
      <w:r>
        <w:rPr>
          <w:sz w:val="24"/>
        </w:rPr>
      </w:r>
    </w:p>
    <w:p>
      <w:pPr>
        <w:pStyle w:val="Normal"/>
        <w:ind w:start="720" w:end="0"/>
        <w:jc w:val="both"/>
        <w:rPr/>
      </w:pPr>
      <w:r>
        <w:rPr>
          <w:sz w:val="24"/>
        </w:rPr>
        <w:t xml:space="preserve">The term “same kind” is defined in Section 54 of the </w:t>
      </w:r>
      <w:r>
        <w:rPr>
          <w:i/>
          <w:sz w:val="24"/>
        </w:rPr>
        <w:t>Corporations Law</w:t>
      </w:r>
      <w:r>
        <w:rPr>
          <w:sz w:val="24"/>
        </w:rPr>
        <w:t>. In determining whether an agreement is the same as, or not materially different from, the provisions of another agreement the following is disregarded:</w:t>
      </w:r>
    </w:p>
    <w:p>
      <w:pPr>
        <w:pStyle w:val="DefinitionTerm"/>
        <w:spacing w:before="100" w:after="100"/>
        <w:ind w:start="720" w:end="0"/>
        <w:jc w:val="both"/>
        <w:rPr>
          <w:lang w:eastAsia="en-CA"/>
        </w:rPr>
      </w:pPr>
      <w:r>
        <w:rPr>
          <w:lang w:eastAsia="en-CA"/>
        </w:rPr>
        <w:t xml:space="preserve">(a) the fact that the parties to the respective agreements are different; and </w:t>
      </w:r>
    </w:p>
    <w:p>
      <w:pPr>
        <w:pStyle w:val="DefinitionTerm"/>
        <w:spacing w:before="100" w:after="100"/>
        <w:ind w:hanging="360" w:start="1080" w:end="0"/>
        <w:jc w:val="both"/>
        <w:rPr>
          <w:lang w:eastAsia="en-CA"/>
        </w:rPr>
      </w:pPr>
      <w:r>
        <w:rPr>
          <w:lang w:eastAsia="en-CA"/>
        </w:rPr>
        <w:t>(b) any difference in the amounts payable under corresponding provisions of the respective agreements.</w:t>
      </w:r>
    </w:p>
    <w:p>
      <w:pPr>
        <w:pStyle w:val="Normal"/>
        <w:ind w:hanging="720" w:start="720" w:end="0"/>
        <w:jc w:val="both"/>
        <w:rPr>
          <w:sz w:val="24"/>
          <w:lang w:eastAsia="en-CA"/>
        </w:rPr>
      </w:pPr>
      <w:r>
        <w:rPr>
          <w:sz w:val="24"/>
          <w:lang w:eastAsia="en-CA"/>
        </w:rPr>
      </w:r>
    </w:p>
    <w:p>
      <w:pPr>
        <w:pStyle w:val="Normal"/>
        <w:ind w:start="720" w:end="0"/>
        <w:jc w:val="both"/>
        <w:rPr>
          <w:sz w:val="24"/>
        </w:rPr>
      </w:pPr>
      <w:r>
        <w:rPr>
          <w:sz w:val="24"/>
        </w:rPr>
        <w:t>If the same GTCs applied to 2 different counterparties then any resulting transactions would  be of the “same kind” and as a result would be classified as futures contracts. If they were traded on a regular basis then an exempt market declaration or more probably a securities dealers licence would be required. The only exception would be certain interest rate and currency derivatives where the counterparty was either an Australian Bank or Prescribed Merchant Bank. These are explicitly excluded from the definition of “futures contract”.  Would you please confirm that this is analysis is correct?</w:t>
      </w:r>
    </w:p>
    <w:p>
      <w:pPr>
        <w:pStyle w:val="Normal"/>
        <w:jc w:val="both"/>
        <w:rPr>
          <w:sz w:val="24"/>
        </w:rPr>
      </w:pPr>
      <w:r>
        <w:rPr>
          <w:sz w:val="24"/>
        </w:rPr>
      </w:r>
    </w:p>
    <w:p>
      <w:pPr>
        <w:pStyle w:val="Normal"/>
        <w:numPr>
          <w:ilvl w:val="0"/>
          <w:numId w:val="4"/>
        </w:numPr>
        <w:jc w:val="both"/>
        <w:rPr>
          <w:sz w:val="24"/>
        </w:rPr>
      </w:pPr>
      <w:r>
        <w:rPr>
          <w:sz w:val="24"/>
        </w:rPr>
        <w:t xml:space="preserve">Would there be any other regulatory restrictions or obligations on the type of transactions or conduct contemplated with the introduction of EnronOnline? Under the proposed changes to the </w:t>
      </w:r>
      <w:r>
        <w:rPr>
          <w:i/>
          <w:sz w:val="24"/>
        </w:rPr>
        <w:t>Corporations Law</w:t>
      </w:r>
      <w:r>
        <w:rPr>
          <w:sz w:val="24"/>
        </w:rPr>
        <w:t xml:space="preserve"> as part of CLERP 6 there will be a common form of licensing for all types of derivatives trading. Whilst recognising the final form of any legislative changes not certain are there any matters we should be talking into consideration when introducing EnronOnline to Australia?     </w:t>
      </w:r>
    </w:p>
    <w:p>
      <w:pPr>
        <w:pStyle w:val="Normal"/>
        <w:jc w:val="both"/>
        <w:rPr>
          <w:sz w:val="24"/>
        </w:rPr>
      </w:pPr>
      <w:r>
        <w:rPr>
          <w:sz w:val="24"/>
        </w:rPr>
      </w:r>
    </w:p>
    <w:p>
      <w:pPr>
        <w:pStyle w:val="Normal"/>
        <w:numPr>
          <w:ilvl w:val="0"/>
          <w:numId w:val="4"/>
        </w:numPr>
        <w:jc w:val="both"/>
        <w:rPr>
          <w:sz w:val="24"/>
        </w:rPr>
      </w:pPr>
      <w:r>
        <w:rPr>
          <w:sz w:val="24"/>
        </w:rPr>
        <w:t xml:space="preserve">Would there be any regulatory prohibitions on non-Australian resident Enron  affiliates contracting through EnronOnline with counterparties in Australia.  In all cases the Enron contracting party would be incorporated outside Australia and also the choice of law covering such contracts would be New York or another foreign jurisdiction. </w:t>
      </w:r>
    </w:p>
    <w:p>
      <w:pPr>
        <w:pStyle w:val="Normal"/>
        <w:jc w:val="both"/>
        <w:rPr>
          <w:sz w:val="24"/>
        </w:rPr>
      </w:pPr>
      <w:r>
        <w:rPr>
          <w:sz w:val="24"/>
        </w:rPr>
      </w:r>
    </w:p>
    <w:p>
      <w:pPr>
        <w:pStyle w:val="BodyTextIndent2"/>
        <w:numPr>
          <w:ilvl w:val="0"/>
          <w:numId w:val="4"/>
        </w:numPr>
        <w:rPr/>
      </w:pPr>
      <w:r>
        <w:rPr/>
        <w:t xml:space="preserve">We believe the EnronOnline procedures will result in the formation of valid and binding contracts.  Furthermore these contracts, in respect of each transaction, will be formed upon the dispatch by EAF (through EnronOnline) of its acceptance of the offer submitted by the counterparty.  Accordingly the contract will be formed in New South Wales.  We have also considered that the current initiatives on e-commerce included in the </w:t>
      </w:r>
      <w:r>
        <w:rPr>
          <w:i/>
        </w:rPr>
        <w:t>Electronic Transactions Bill 1999</w:t>
      </w:r>
      <w:r>
        <w:rPr/>
        <w:t xml:space="preserve"> and believe they should not effect this analysis. Would you agree?</w:t>
      </w:r>
    </w:p>
    <w:p>
      <w:pPr>
        <w:pStyle w:val="BodyTextIndent2"/>
        <w:ind w:hanging="0" w:start="0" w:end="0"/>
        <w:rPr/>
      </w:pPr>
      <w:r>
        <w:rPr/>
      </w:r>
    </w:p>
    <w:p>
      <w:pPr>
        <w:pStyle w:val="BodyTextIndent2"/>
        <w:numPr>
          <w:ilvl w:val="0"/>
          <w:numId w:val="4"/>
        </w:numPr>
        <w:rPr/>
      </w:pPr>
      <w:r>
        <w:rPr/>
        <w:t xml:space="preserve">Would you have suggest  any changes to the Password Agreement, ETA or GTC, or the wording normally included in ISDA Master Agreements?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fldChar w:fldCharType="begin"/>
      </w:r>
      <w:r>
        <w:rPr>
          <w:sz w:val="24"/>
        </w:rPr>
        <w:instrText xml:space="preserve"> DATE \@"d\ MMMM\ yyyy" </w:instrText>
      </w:r>
      <w:r>
        <w:rPr>
          <w:sz w:val="24"/>
        </w:rPr>
        <w:fldChar w:fldCharType="separate"/>
      </w:r>
      <w:r>
        <w:rPr>
          <w:sz w:val="24"/>
        </w:rPr>
        <w:t>28 September 2025</w:t>
      </w:r>
      <w:r>
        <w:rPr>
          <w:sz w:val="24"/>
        </w:rPr>
        <w:fldChar w:fldCharType="end"/>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Issues specific to trading in weather derivatives irrespective of whether the trade was conducted on line (such as the application of the Insurance Contracts Act) will be the subject of separate instructions and need not be addressed.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1">
    <w:name w:val="heading 1"/>
    <w:basedOn w:val="Normal"/>
    <w:next w:val="Normal"/>
    <w:qFormat/>
    <w:pPr>
      <w:keepNext w:val="true"/>
      <w:numPr>
        <w:ilvl w:val="0"/>
        <w:numId w:val="1"/>
      </w:numPr>
      <w:outlineLvl w:val="0"/>
    </w:pPr>
    <w:rPr>
      <w:b/>
      <w:i/>
      <w:sz w:val="24"/>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Wingdings" w:hAnsi="Wingdings" w:cs="Wingdings"/>
    </w:rPr>
  </w:style>
  <w:style w:type="character" w:styleId="WW8NumSt7z0">
    <w:name w:val="WW8NumSt7z0"/>
    <w:qFormat/>
    <w:rPr>
      <w:rFonts w:ascii="Wingdings" w:hAnsi="Wingdings" w:cs="Wingdings"/>
      <w:sz w:val="4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sz w:val="24"/>
    </w:rPr>
  </w:style>
  <w:style w:type="paragraph" w:styleId="FootnoteText">
    <w:name w:val="footnote text"/>
    <w:basedOn w:val="Normal"/>
    <w:pPr/>
    <w:rPr/>
  </w:style>
  <w:style w:type="paragraph" w:styleId="BodyTextIndent">
    <w:name w:val="Body Text Indent"/>
    <w:basedOn w:val="Normal"/>
    <w:pPr>
      <w:ind w:hanging="0" w:start="720" w:end="0"/>
      <w:jc w:val="both"/>
    </w:pPr>
    <w:rPr>
      <w:rFonts w:ascii="Arial" w:hAnsi="Arial" w:cs="Arial"/>
      <w:b/>
      <w:color w:val="FFFFFF"/>
      <w:sz w:val="48"/>
      <w:lang w:val="en-US" w:eastAsia="en-US"/>
    </w:rPr>
  </w:style>
  <w:style w:type="paragraph" w:styleId="DefinitionTerm">
    <w:name w:val="Definition Term"/>
    <w:basedOn w:val="Normal"/>
    <w:next w:val="DefinitionList"/>
    <w:qFormat/>
    <w:pPr/>
    <w:rPr>
      <w:sz w:val="24"/>
      <w:lang w:eastAsia="en-US"/>
    </w:rPr>
  </w:style>
  <w:style w:type="paragraph" w:styleId="DefinitionList">
    <w:name w:val="Definition List"/>
    <w:basedOn w:val="Normal"/>
    <w:next w:val="DefinitionTerm"/>
    <w:qFormat/>
    <w:pPr>
      <w:ind w:hanging="0" w:start="360" w:end="0"/>
    </w:pPr>
    <w:rPr>
      <w:sz w:val="24"/>
      <w:lang w:eastAsia="en-US"/>
    </w:rPr>
  </w:style>
  <w:style w:type="paragraph" w:styleId="BodyTextIndent2">
    <w:name w:val="Body Text Indent 2"/>
    <w:basedOn w:val="Normal"/>
    <w:qFormat/>
    <w:pPr>
      <w:ind w:hanging="810" w:start="81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1999-11-10T19:48:00Z</dcterms:created>
  <dc:creator>knoyce</dc:creator>
  <dc:description/>
  <dc:language>en-CA</dc:language>
  <cp:lastModifiedBy>knoyce</cp:lastModifiedBy>
  <cp:lastPrinted>1999-11-19T12:47:00Z</cp:lastPrinted>
  <dcterms:modified xsi:type="dcterms:W3CDTF">1999-11-19T03:31:00Z</dcterms:modified>
  <cp:revision>10</cp:revision>
  <dc:subject/>
  <dc:title>BRIEF TO ADVISE</dc:title>
</cp:coreProperties>
</file>