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BRIEFING PAPER ON SIERRA/PGE APPROVALS</w:t>
      </w:r>
    </w:p>
    <w:p>
      <w:pPr>
        <w:pStyle w:val="Heading"/>
        <w:rPr>
          <w:sz w:val="28"/>
        </w:rPr>
      </w:pPr>
      <w:r>
        <w:rPr>
          <w:sz w:val="28"/>
        </w:rPr>
      </w:r>
    </w:p>
    <w:p>
      <w:pPr>
        <w:pStyle w:val="Normal"/>
        <w:rPr>
          <w:sz w:val="28"/>
        </w:rPr>
      </w:pPr>
      <w:r>
        <w:rPr>
          <w:sz w:val="28"/>
        </w:rPr>
      </w:r>
    </w:p>
    <w:p>
      <w:pPr>
        <w:pStyle w:val="Normal"/>
        <w:rPr>
          <w:sz w:val="28"/>
        </w:rPr>
      </w:pPr>
      <w:r>
        <w:rPr>
          <w:sz w:val="28"/>
        </w:rPr>
      </w:r>
    </w:p>
    <w:p>
      <w:pPr>
        <w:pStyle w:val="Heading1"/>
        <w:ind w:hanging="0" w:start="0"/>
        <w:rPr>
          <w:sz w:val="28"/>
        </w:rPr>
      </w:pPr>
      <w:r>
        <w:rPr>
          <w:sz w:val="28"/>
        </w:rPr>
        <w:t>General Timeline</w:t>
      </w:r>
    </w:p>
    <w:p>
      <w:pPr>
        <w:pStyle w:val="Normal"/>
        <w:rPr>
          <w:sz w:val="28"/>
        </w:rPr>
      </w:pPr>
      <w:r>
        <w:rPr>
          <w:sz w:val="28"/>
        </w:rPr>
      </w:r>
    </w:p>
    <w:p>
      <w:pPr>
        <w:pStyle w:val="Normal"/>
        <w:numPr>
          <w:ilvl w:val="0"/>
          <w:numId w:val="9"/>
        </w:numPr>
        <w:rPr>
          <w:sz w:val="28"/>
        </w:rPr>
      </w:pPr>
      <w:r>
        <w:rPr>
          <w:sz w:val="28"/>
        </w:rPr>
        <w:t>We signed and announced the deal with Sierra in November 1999.</w:t>
        <w:br/>
      </w:r>
    </w:p>
    <w:p>
      <w:pPr>
        <w:pStyle w:val="Normal"/>
        <w:numPr>
          <w:ilvl w:val="0"/>
          <w:numId w:val="9"/>
        </w:numPr>
        <w:rPr>
          <w:sz w:val="28"/>
        </w:rPr>
      </w:pPr>
      <w:r>
        <w:rPr>
          <w:sz w:val="28"/>
        </w:rPr>
        <w:t>Sierra made its initial filing with the SEC in February 2000.</w:t>
      </w:r>
    </w:p>
    <w:p>
      <w:pPr>
        <w:pStyle w:val="Normal"/>
        <w:rPr>
          <w:sz w:val="28"/>
        </w:rPr>
      </w:pPr>
      <w:r>
        <w:rPr>
          <w:sz w:val="28"/>
        </w:rPr>
      </w:r>
    </w:p>
    <w:p>
      <w:pPr>
        <w:pStyle w:val="Normal"/>
        <w:numPr>
          <w:ilvl w:val="0"/>
          <w:numId w:val="13"/>
        </w:numPr>
        <w:rPr>
          <w:sz w:val="28"/>
        </w:rPr>
      </w:pPr>
      <w:r>
        <w:rPr>
          <w:sz w:val="28"/>
        </w:rPr>
        <w:t>We obtained Nevada PUC concurrence in February, Oregon PUC approval in October and FERC approval on November 21, 2000.</w:t>
        <w:br/>
      </w:r>
    </w:p>
    <w:p>
      <w:pPr>
        <w:pStyle w:val="Normal"/>
        <w:numPr>
          <w:ilvl w:val="0"/>
          <w:numId w:val="13"/>
        </w:numPr>
        <w:rPr>
          <w:sz w:val="28"/>
        </w:rPr>
      </w:pPr>
      <w:r>
        <w:rPr>
          <w:sz w:val="28"/>
        </w:rPr>
        <w:t>An SEC order under the Public Utility Holding Company Act of 1935 (the “1935 Act”) is the last outstanding approval required before Sierra can complete its acquisition of PGE.</w:t>
        <w:br/>
      </w:r>
    </w:p>
    <w:p>
      <w:pPr>
        <w:pStyle w:val="Normal"/>
        <w:numPr>
          <w:ilvl w:val="0"/>
          <w:numId w:val="9"/>
        </w:numPr>
        <w:rPr>
          <w:sz w:val="28"/>
        </w:rPr>
      </w:pPr>
      <w:r>
        <w:rPr>
          <w:sz w:val="28"/>
        </w:rPr>
        <w:t>It is our understanding that SEC generally acts on applications within 90 days after FERC approval.</w:t>
        <w:br/>
      </w:r>
    </w:p>
    <w:p>
      <w:pPr>
        <w:pStyle w:val="Normal"/>
        <w:numPr>
          <w:ilvl w:val="0"/>
          <w:numId w:val="9"/>
        </w:numPr>
        <w:rPr>
          <w:sz w:val="28"/>
        </w:rPr>
      </w:pPr>
      <w:r>
        <w:rPr>
          <w:sz w:val="28"/>
        </w:rPr>
        <w:t>Therefore, on or about February 23, 2001 is the target date for obtaining SEC approval.</w:t>
      </w:r>
    </w:p>
    <w:p>
      <w:pPr>
        <w:pStyle w:val="Normal"/>
        <w:rPr>
          <w:sz w:val="28"/>
        </w:rPr>
      </w:pPr>
      <w:r>
        <w:rPr>
          <w:sz w:val="28"/>
        </w:rPr>
      </w:r>
    </w:p>
    <w:p>
      <w:pPr>
        <w:pStyle w:val="Heading1"/>
        <w:ind w:hanging="0" w:start="0"/>
        <w:rPr>
          <w:sz w:val="28"/>
        </w:rPr>
      </w:pPr>
      <w:r>
        <w:rPr>
          <w:sz w:val="28"/>
        </w:rPr>
        <w:t>Why Timing is Important</w:t>
      </w:r>
    </w:p>
    <w:p>
      <w:pPr>
        <w:pStyle w:val="Normal"/>
        <w:rPr>
          <w:sz w:val="28"/>
        </w:rPr>
      </w:pPr>
      <w:r>
        <w:rPr>
          <w:sz w:val="28"/>
        </w:rPr>
      </w:r>
    </w:p>
    <w:p>
      <w:pPr>
        <w:pStyle w:val="Normal"/>
        <w:numPr>
          <w:ilvl w:val="0"/>
          <w:numId w:val="2"/>
        </w:numPr>
        <w:rPr>
          <w:sz w:val="28"/>
        </w:rPr>
      </w:pPr>
      <w:r>
        <w:rPr>
          <w:sz w:val="28"/>
          <w:u w:val="single"/>
        </w:rPr>
        <w:t>Oregon consumers</w:t>
      </w:r>
      <w:r>
        <w:rPr>
          <w:sz w:val="28"/>
        </w:rPr>
        <w:t>: There are significant benefits for Oregon consumers once this deal is completed. These benefits include:</w:t>
      </w:r>
    </w:p>
    <w:p>
      <w:pPr>
        <w:pStyle w:val="Normal"/>
        <w:rPr>
          <w:sz w:val="28"/>
        </w:rPr>
      </w:pPr>
      <w:r>
        <w:rPr>
          <w:sz w:val="28"/>
        </w:rPr>
      </w:r>
    </w:p>
    <w:p>
      <w:pPr>
        <w:pStyle w:val="Normal"/>
        <w:numPr>
          <w:ilvl w:val="0"/>
          <w:numId w:val="7"/>
        </w:numPr>
        <w:tabs>
          <w:tab w:val="left" w:pos="720" w:leader="none"/>
        </w:tabs>
        <w:ind w:hanging="360" w:start="720" w:end="0"/>
        <w:rPr>
          <w:sz w:val="28"/>
        </w:rPr>
      </w:pPr>
      <w:r>
        <w:rPr>
          <w:sz w:val="28"/>
        </w:rPr>
        <w:t>A six-year freeze on PGE’s distribution, transmission and customer service rates  (Note: the freeze does not affect PGE’s ability to adjust prices as wholesale electricity costs change)</w:t>
      </w:r>
    </w:p>
    <w:p>
      <w:pPr>
        <w:pStyle w:val="Normal"/>
        <w:numPr>
          <w:ilvl w:val="0"/>
          <w:numId w:val="7"/>
        </w:numPr>
        <w:tabs>
          <w:tab w:val="left" w:pos="720" w:leader="none"/>
        </w:tabs>
        <w:ind w:hanging="360" w:start="720" w:end="0"/>
        <w:rPr>
          <w:sz w:val="28"/>
        </w:rPr>
      </w:pPr>
      <w:r>
        <w:rPr>
          <w:sz w:val="28"/>
        </w:rPr>
        <w:t xml:space="preserve">A $95MM customer credit over approximately seven years.  This is in addition to the remaining Enron merger credit of approximately $80MM. </w:t>
      </w:r>
    </w:p>
    <w:p>
      <w:pPr>
        <w:pStyle w:val="Normal"/>
        <w:rPr>
          <w:sz w:val="28"/>
        </w:rPr>
      </w:pPr>
      <w:r>
        <w:rPr>
          <w:sz w:val="28"/>
        </w:rPr>
      </w:r>
    </w:p>
    <w:p>
      <w:pPr>
        <w:pStyle w:val="Normal"/>
        <w:numPr>
          <w:ilvl w:val="0"/>
          <w:numId w:val="10"/>
        </w:numPr>
        <w:rPr>
          <w:sz w:val="28"/>
        </w:rPr>
      </w:pPr>
      <w:r>
        <w:rPr>
          <w:sz w:val="28"/>
          <w:u w:val="single"/>
        </w:rPr>
        <w:t>Sierra stockholders</w:t>
      </w:r>
      <w:r>
        <w:rPr>
          <w:sz w:val="28"/>
        </w:rPr>
        <w:t>:  Regulatory certainty would also help Sierra rebuild its depressed stock price, for the benefit of investors.</w:t>
      </w:r>
    </w:p>
    <w:p>
      <w:pPr>
        <w:pStyle w:val="Normal"/>
        <w:rPr>
          <w:sz w:val="28"/>
        </w:rPr>
      </w:pPr>
      <w:r>
        <w:rPr>
          <w:sz w:val="28"/>
        </w:rPr>
      </w:r>
    </w:p>
    <w:p>
      <w:pPr>
        <w:pStyle w:val="Normal"/>
        <w:numPr>
          <w:ilvl w:val="0"/>
          <w:numId w:val="6"/>
        </w:numPr>
        <w:rPr>
          <w:sz w:val="28"/>
        </w:rPr>
      </w:pPr>
      <w:r>
        <w:rPr>
          <w:sz w:val="28"/>
          <w:u w:val="single"/>
        </w:rPr>
        <w:t>Enron stockholders</w:t>
      </w:r>
      <w:r>
        <w:rPr>
          <w:sz w:val="28"/>
        </w:rPr>
        <w:t>: Enron has announced that it has launched an extensive effort to redeploy its capital into its higher growth businesses.  The completion of the transaction in a timely manner is an extremely important part of this plan.</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1"/>
        <w:ind w:hanging="0" w:start="0"/>
        <w:rPr>
          <w:sz w:val="28"/>
        </w:rPr>
      </w:pPr>
      <w:r>
        <w:rPr>
          <w:sz w:val="28"/>
        </w:rPr>
        <w:t>Status with 1935 Act Staff</w:t>
      </w:r>
    </w:p>
    <w:p>
      <w:pPr>
        <w:pStyle w:val="Normal"/>
        <w:rPr>
          <w:sz w:val="28"/>
        </w:rPr>
      </w:pPr>
      <w:r>
        <w:rPr>
          <w:sz w:val="28"/>
        </w:rPr>
      </w:r>
    </w:p>
    <w:p>
      <w:pPr>
        <w:pStyle w:val="Normal"/>
        <w:numPr>
          <w:ilvl w:val="0"/>
          <w:numId w:val="5"/>
        </w:numPr>
        <w:rPr>
          <w:sz w:val="28"/>
        </w:rPr>
      </w:pPr>
      <w:r>
        <w:rPr>
          <w:sz w:val="28"/>
        </w:rPr>
        <w:t>We are working with the 1935 Act staff to address any open issues, and expect to complete the record within the next week.</w:t>
      </w:r>
    </w:p>
    <w:p>
      <w:pPr>
        <w:pStyle w:val="Normal"/>
        <w:rPr>
          <w:sz w:val="28"/>
        </w:rPr>
      </w:pPr>
      <w:r>
        <w:rPr>
          <w:sz w:val="28"/>
        </w:rPr>
      </w:r>
    </w:p>
    <w:p>
      <w:pPr>
        <w:pStyle w:val="Normal"/>
        <w:numPr>
          <w:ilvl w:val="0"/>
          <w:numId w:val="11"/>
        </w:numPr>
        <w:rPr>
          <w:sz w:val="28"/>
        </w:rPr>
      </w:pPr>
      <w:r>
        <w:rPr>
          <w:sz w:val="28"/>
        </w:rPr>
        <w:t>Walt Higgins, the CEO of Sierra, met with the 1935 Act staff last week and had a generally productive meeting on the substantive merits of the application.</w:t>
      </w:r>
    </w:p>
    <w:p>
      <w:pPr>
        <w:pStyle w:val="Normal"/>
        <w:rPr>
          <w:sz w:val="28"/>
        </w:rPr>
      </w:pPr>
      <w:r>
        <w:rPr>
          <w:sz w:val="28"/>
        </w:rPr>
      </w:r>
    </w:p>
    <w:p>
      <w:pPr>
        <w:pStyle w:val="Normal"/>
        <w:numPr>
          <w:ilvl w:val="0"/>
          <w:numId w:val="3"/>
        </w:numPr>
        <w:rPr>
          <w:sz w:val="28"/>
        </w:rPr>
      </w:pPr>
      <w:r>
        <w:rPr>
          <w:sz w:val="28"/>
        </w:rPr>
        <w:t xml:space="preserve">However, timing remains a concern.  Cathie Fisher of the staff is suggesting that she is more comfortable with a March approval, but we believe that February is also practicable.  </w:t>
      </w:r>
      <w:r>
        <w:rPr>
          <w:b/>
          <w:i/>
          <w:sz w:val="28"/>
        </w:rPr>
        <w:t>[Ken, Cathie did not really give a reason why she thought March was more appropriate…it was basically a bureaucratic reaction.]</w:t>
      </w:r>
    </w:p>
    <w:p>
      <w:pPr>
        <w:pStyle w:val="Normal"/>
        <w:rPr>
          <w:sz w:val="28"/>
        </w:rPr>
      </w:pPr>
      <w:r>
        <w:rPr>
          <w:sz w:val="28"/>
        </w:rPr>
      </w:r>
    </w:p>
    <w:p>
      <w:pPr>
        <w:pStyle w:val="Normal"/>
        <w:numPr>
          <w:ilvl w:val="0"/>
          <w:numId w:val="12"/>
        </w:numPr>
        <w:rPr>
          <w:sz w:val="28"/>
        </w:rPr>
      </w:pPr>
      <w:r>
        <w:rPr>
          <w:sz w:val="28"/>
        </w:rPr>
        <w:t>Walt Higgins and I are hopeful that the Commission and the staff share our views on a February closing, especially given how long this transaction has been going on.</w:t>
      </w:r>
    </w:p>
    <w:p>
      <w:pPr>
        <w:pStyle w:val="Normal"/>
        <w:rPr>
          <w:sz w:val="28"/>
        </w:rPr>
      </w:pPr>
      <w:r>
        <w:rPr>
          <w:sz w:val="28"/>
        </w:rPr>
      </w:r>
    </w:p>
    <w:p>
      <w:pPr>
        <w:pStyle w:val="Normal"/>
        <w:numPr>
          <w:ilvl w:val="0"/>
          <w:numId w:val="4"/>
        </w:numPr>
        <w:rPr>
          <w:sz w:val="28"/>
        </w:rPr>
      </w:pPr>
      <w:r>
        <w:rPr>
          <w:sz w:val="28"/>
        </w:rPr>
        <w:t>For example, other potentially more complex deals, such as PowerGen/LGE, have been announced and completed in the interim.</w:t>
      </w:r>
    </w:p>
    <w:p>
      <w:pPr>
        <w:pStyle w:val="Normal"/>
        <w:rPr>
          <w:sz w:val="28"/>
        </w:rPr>
      </w:pPr>
      <w:r>
        <w:rPr>
          <w:sz w:val="28"/>
        </w:rPr>
      </w:r>
    </w:p>
    <w:p>
      <w:pPr>
        <w:pStyle w:val="Normal"/>
        <w:numPr>
          <w:ilvl w:val="0"/>
          <w:numId w:val="8"/>
        </w:numPr>
        <w:rPr>
          <w:sz w:val="28"/>
        </w:rPr>
      </w:pPr>
      <w:r>
        <w:rPr>
          <w:sz w:val="28"/>
        </w:rPr>
        <w:t>Also, by the end of February, the typical 90 days will have already passed since we obtained FERC approval, so this is not really an accelerated time schedule at all.</w:t>
      </w:r>
    </w:p>
    <w:p>
      <w:pPr>
        <w:pStyle w:val="Normal"/>
        <w:rPr>
          <w:sz w:val="28"/>
        </w:rPr>
      </w:pPr>
      <w:r>
        <w:rPr>
          <w:sz w:val="28"/>
        </w:rPr>
      </w:r>
    </w:p>
    <w:p>
      <w:pPr>
        <w:pStyle w:val="BodyText"/>
        <w:rPr>
          <w:sz w:val="28"/>
        </w:rPr>
      </w:pPr>
      <w:r>
        <w:rPr>
          <w:sz w:val="28"/>
        </w:rPr>
        <w:t>[Ken--While we realize it is not practical to ask for an order before Chairman Levitt leaves (in early February), it would be very helpful if he could ask the staff to complete its work and transmit the draft order to the Commission before he leaves.]</w:t>
      </w:r>
    </w:p>
    <w:p>
      <w:pPr>
        <w:pStyle w:val="BodyText"/>
        <w:rPr>
          <w:sz w:val="28"/>
        </w:rPr>
      </w:pPr>
      <w:r>
        <w:rPr>
          <w:sz w:val="28"/>
        </w:rPr>
      </w:r>
    </w:p>
    <w:p>
      <w:pPr>
        <w:pStyle w:val="BodyText"/>
        <w:rPr>
          <w:sz w:val="28"/>
        </w:rPr>
      </w:pPr>
      <w:r>
        <w:rPr>
          <w:sz w:val="28"/>
        </w:rPr>
      </w:r>
    </w:p>
    <w:sectPr>
      <w:type w:val="nextPage"/>
      <w:pgSz w:w="11906" w:h="16838"/>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2001-01-08T15:30:00Z</dcterms:created>
  <dc:creator>mmetts</dc:creator>
  <dc:description/>
  <dc:language>en-CA</dc:language>
  <cp:lastModifiedBy>mtaylo2</cp:lastModifiedBy>
  <cp:lastPrinted>2001-01-08T10:57:00Z</cp:lastPrinted>
  <dcterms:modified xsi:type="dcterms:W3CDTF">2001-01-08T15:56:00Z</dcterms:modified>
  <cp:revision>3</cp:revision>
  <dc:subject/>
  <dc:title>BRIEFING PAPER ON SIERRA/PGE APPROVALS</dc:title>
</cp:coreProperties>
</file>