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855345</wp:posOffset>
                </wp:positionH>
                <wp:positionV relativeFrom="page">
                  <wp:posOffset>915035</wp:posOffset>
                </wp:positionV>
                <wp:extent cx="6044565" cy="3718560"/>
                <wp:effectExtent l="0" t="0" r="0" b="0"/>
                <wp:wrapTopAndBottom/>
                <wp:docPr id="1" name="Frame1"/>
                <a:graphic xmlns:a="http://schemas.openxmlformats.org/drawingml/2006/main">
                  <a:graphicData uri="http://schemas.microsoft.com/office/word/2010/wordprocessingShape">
                    <wps:wsp>
                      <wps:cNvSpPr txBox="1"/>
                      <wps:spPr>
                        <a:xfrm>
                          <a:off x="0" y="0"/>
                          <a:ext cx="6044565" cy="3718560"/>
                        </a:xfrm>
                        <a:prstGeom prst="rect"/>
                        <a:solidFill>
                          <a:srgbClr val="FFFFFF">
                            <a:alpha val="0"/>
                          </a:srgbClr>
                        </a:solidFill>
                      </wps:spPr>
                      <wps:txbx>
                        <w:txbxContent>
                          <w:p>
                            <w:pPr>
                              <w:pStyle w:val="Normal"/>
                              <w:ind w:start="-1080" w:end="0"/>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January __, 2001</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 xml:space="preserve">Cooperatieve Centrale Raiffeisen-Boerenleenbank B.A., (trading as “Rabobank International”), London branch. </w:t>
                                  </w:r>
                                </w:p>
                                <w:p>
                                  <w:pPr>
                                    <w:pStyle w:val="Normal"/>
                                    <w:rPr/>
                                  </w:pPr>
                                  <w:r>
                                    <w:rPr/>
                                  </w:r>
                                </w:p>
                              </w:tc>
                            </w:tr>
                            <w:tr>
                              <w:trPr/>
                              <w:tc>
                                <w:tcPr>
                                  <w:tcW w:w="2358" w:type="dxa"/>
                                  <w:tcBorders/>
                                </w:tcPr>
                                <w:p>
                                  <w:pPr>
                                    <w:pStyle w:val="Normal"/>
                                    <w:rPr/>
                                  </w:pPr>
                                  <w:r>
                                    <w:rPr/>
                                    <w:t>Attention:</w:t>
                                  </w:r>
                                </w:p>
                              </w:tc>
                              <w:tc>
                                <w:tcPr>
                                  <w:tcW w:w="6498" w:type="dxa"/>
                                  <w:tcBorders/>
                                </w:tcPr>
                                <w:p>
                                  <w:pPr>
                                    <w:pStyle w:val="Normal"/>
                                    <w:snapToGrid w:val="false"/>
                                    <w:rPr/>
                                  </w:pPr>
                                  <w:r>
                                    <w:rPr/>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 xml:space="preserve">Enron North America Corp. </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75.95pt;height:292.8pt;mso-wrap-distance-left:9.35pt;mso-wrap-distance-right:9.35pt;mso-wrap-distance-top:0pt;mso-wrap-distance-bottom:0pt;margin-top:72.05pt;mso-position-vertical-relative:page;margin-left:67.35pt;mso-position-horizontal-relative:page">
                <v:fill opacity="0f"/>
                <v:textbox inset="0in,0in,0in,0in">
                  <w:txbxContent>
                    <w:p>
                      <w:pPr>
                        <w:pStyle w:val="Normal"/>
                        <w:ind w:start="-1080" w:end="0"/>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January __, 2001</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 xml:space="preserve">Cooperatieve Centrale Raiffeisen-Boerenleenbank B.A., (trading as “Rabobank International”), London branch. </w:t>
                            </w:r>
                          </w:p>
                          <w:p>
                            <w:pPr>
                              <w:pStyle w:val="Normal"/>
                              <w:rPr/>
                            </w:pPr>
                            <w:r>
                              <w:rPr/>
                            </w:r>
                          </w:p>
                        </w:tc>
                      </w:tr>
                      <w:tr>
                        <w:trPr/>
                        <w:tc>
                          <w:tcPr>
                            <w:tcW w:w="2358" w:type="dxa"/>
                            <w:tcBorders/>
                          </w:tcPr>
                          <w:p>
                            <w:pPr>
                              <w:pStyle w:val="Normal"/>
                              <w:rPr/>
                            </w:pPr>
                            <w:r>
                              <w:rPr/>
                              <w:t>Attention:</w:t>
                            </w:r>
                          </w:p>
                        </w:tc>
                        <w:tc>
                          <w:tcPr>
                            <w:tcW w:w="6498" w:type="dxa"/>
                            <w:tcBorders/>
                          </w:tcPr>
                          <w:p>
                            <w:pPr>
                              <w:pStyle w:val="Normal"/>
                              <w:snapToGrid w:val="false"/>
                              <w:rPr/>
                            </w:pPr>
                            <w:r>
                              <w:rPr/>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 xml:space="preserve">Enron North America Corp. </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sz w:val="20"/>
        </w:rPr>
      </w:pPr>
      <w:r>
        <w:rPr>
          <w:sz w:val="20"/>
        </w:rPr>
        <w:t>The purpose of this letter (this “Confirmation”) is to confirm the terms and conditions of the transaction entered into between Enron North America Corp. (“Party A”) and Cooperatieve Centrale Raiffeisen-Boerenleenbank B.A., “Rabobank International” (“Party B”) on the Trade Date specified below (the “Transaction”).  This Confirmation supplements, forms part of, and is subject to, the ISDA Master Agreement dated as of January __, 2001,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t>January __, 2001</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t>February 1, 2001</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rPr>
      </w:pPr>
      <w:r>
        <w:rPr>
          <w:lang w:val="en-US"/>
        </w:rPr>
        <w:t>Termination Date:</w:t>
        <w:tab/>
        <w:tab/>
        <w:t>June 28, 2002</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t>Common Shares of EOG Resources Inc. (ticker symbol:  EOG)</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t>New York Stock Exchange</w:t>
      </w:r>
    </w:p>
    <w:p>
      <w:pPr>
        <w:pStyle w:val="BodyTextIndent2"/>
        <w:tabs>
          <w:tab w:val="clear" w:pos="0"/>
          <w:tab w:val="clear" w:pos="3600"/>
          <w:tab w:val="clear" w:pos="5086"/>
          <w:tab w:val="right" w:pos="1296" w:leader="none"/>
          <w:tab w:val="left" w:pos="4320"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pPr>
      <w:r>
        <w:rPr/>
        <w:t>Related Exchange:</w:t>
        <w:tab/>
        <w:t>Inapplicable</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B</w:t>
      </w:r>
    </w:p>
    <w:p>
      <w:pPr>
        <w:pStyle w:val="Normal"/>
        <w:tabs>
          <w:tab w:val="clear" w:pos="720"/>
          <w:tab w:val="left" w:pos="0" w:leader="none"/>
          <w:tab w:val="right" w:pos="5316" w:leader="none"/>
        </w:tabs>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Footer"/>
        <w:tabs>
          <w:tab w:val="clear" w:pos="4819"/>
          <w:tab w:val="clear" w:pos="9071"/>
          <w:tab w:val="left" w:pos="0" w:leader="none"/>
          <w:tab w:val="right" w:pos="2236" w:leader="none"/>
          <w:tab w:val="left" w:pos="4320" w:leader="none"/>
        </w:tabs>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Type of Return:</w:t>
        <w:tab/>
        <w:tab/>
        <w:t>Total Return</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 by Party B:</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B</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rPr>
          <w:lang w:val="en-US"/>
        </w:rPr>
      </w:pPr>
      <w:r>
        <w:rPr>
          <w:lang w:val="en-US"/>
        </w:rPr>
        <w:t>Number of Shares:</w:t>
        <w:tab/>
        <w:tab/>
        <w:tab/>
        <w:tab/>
        <w:t>11,500,000</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multiplied by Initial Price (USD 517,500,000)</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w:t>
        <w:tab/>
        <w:t>June 28, 2002</w:t>
      </w:r>
    </w:p>
    <w:p>
      <w:pPr>
        <w:pStyle w:val="Normal"/>
        <w:tabs>
          <w:tab w:val="clear" w:pos="720"/>
          <w:tab w:val="left" w:pos="0" w:leader="none"/>
          <w:tab w:val="right" w:pos="5691" w:leader="none"/>
        </w:tabs>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Initial Price:</w:t>
        <w:tab/>
        <w:t>USD 45</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365"/>
        <w:rPr/>
      </w:pPr>
      <w:r>
        <w:rPr>
          <w:lang w:val="en-US"/>
        </w:rPr>
        <w:t>Final Price:</w:t>
        <w:tab/>
        <w:t>The Final Price shall be the closing price per Share quoted by the Exchange on May 27, 2002</w:t>
      </w:r>
      <w:r>
        <w:rPr>
          <w:b/>
          <w:bCs/>
          <w:i/>
          <w:iCs/>
          <w:lang w:val="en-US"/>
        </w:rPr>
        <w:t xml:space="preserve"> </w:t>
      </w:r>
      <w:r>
        <w:rPr>
          <w:lang w:val="en-US"/>
        </w:rPr>
        <w:t>provided that Party B may elect the “Reference Portfolio Method” by giving written notice of such election to Party A on or before May [28] 2002, which notice shall be irrevocable.  If the “Reference Portfolio Method” is elected by Party B in accordance with the preceding sentence, the Final Price shall be based on the weighted average of the prices obtained by Party B in sales of Shares comprised in the Reference Portfolio (defined below) during the period from May 28 2002 to June 28, 2002, inclusive, calculated in accordance with the formulae set out in Appendix A hereto.  Party B’s right to elect the “Reference Portfolio Method” shall be conditional upon Party B having 1150 Shares registered in its own name and held for its own account (the “Reference Portfolio”) on May 27, 2002.</w:t>
      </w:r>
    </w:p>
    <w:p>
      <w:pPr>
        <w:pStyle w:val="Normal"/>
        <w:tabs>
          <w:tab w:val="clear" w:pos="720"/>
          <w:tab w:val="left" w:pos="4320" w:leader="none"/>
        </w:tabs>
        <w:ind w:hanging="4320" w:start="4320" w:end="-365"/>
        <w:rPr>
          <w:b/>
          <w:bCs/>
          <w:i/>
          <w:i/>
          <w:iCs/>
          <w:lang w:val="en-US"/>
        </w:rPr>
      </w:pPr>
      <w:r>
        <w:rPr>
          <w:b/>
          <w:bCs/>
          <w:i/>
          <w:iCs/>
          <w:lang w:val="en-US"/>
        </w:rPr>
      </w:r>
    </w:p>
    <w:p>
      <w:pPr>
        <w:pStyle w:val="Normal"/>
        <w:tabs>
          <w:tab w:val="clear" w:pos="720"/>
          <w:tab w:val="left" w:pos="4320" w:leader="none"/>
        </w:tabs>
        <w:ind w:hanging="4320" w:start="4320" w:end="0"/>
        <w:rPr>
          <w:lang w:val="en-US"/>
        </w:rPr>
      </w:pPr>
      <w:r>
        <w:rPr>
          <w:lang w:val="en-US"/>
        </w:rPr>
        <w:t>Valuation Date:</w:t>
        <w:tab/>
        <w:t>June 28, 2002.</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Dividend Payment Date</w:t>
        <w:tab/>
        <w:t>April 30, 2001; July 31, 2001; October 31, 2001; January 31 2002; April 30, 2002; and June 28, 2002.</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Dividends</w:t>
        <w:tab/>
        <w:t>If an ex-dividend date in respect of the Shares occurs on any date from but excluding the Trade Date to and including the final Valuation Date, then the Equity Amount Payer will pay the Dividend Amount to the other party on the Dividend Payment Date on or next following the date on which Dividend Amount is paid by the Issuer to the holders of record of the Shares (the “Issuer Paydate”) or, if the Issuer Paydate occurs after the Valuation Date, on such Issuer Paydate.</w:t>
      </w:r>
    </w:p>
    <w:p>
      <w:pPr>
        <w:pStyle w:val="Normal"/>
        <w:tabs>
          <w:tab w:val="clear" w:pos="720"/>
          <w:tab w:val="left" w:pos="4320" w:leader="none"/>
        </w:tabs>
        <w:rPr>
          <w:lang w:val="en-US"/>
        </w:rPr>
      </w:pPr>
      <w:r>
        <w:rPr>
          <w:lang w:val="en-US"/>
        </w:rPr>
      </w:r>
    </w:p>
    <w:p>
      <w:pPr>
        <w:pStyle w:val="BodyTextIndent"/>
        <w:tabs>
          <w:tab w:val="clear" w:pos="4590"/>
          <w:tab w:val="left" w:pos="4320" w:leader="none"/>
        </w:tabs>
        <w:ind w:hanging="4320" w:start="4320" w:end="0"/>
        <w:rPr/>
      </w:pPr>
      <w:r>
        <w:rPr>
          <w:lang w:val="en-US"/>
        </w:rPr>
        <w:t>Dividend Amount:</w:t>
        <w:tab/>
        <w:t>The cash dividend amounts for the Shares calculated</w:t>
      </w:r>
      <w:r>
        <w:rPr/>
        <w:t xml:space="preserve"> as the product of (i) the Number of Shares and (ii) 100% of the cash dividend amount per share declared and payable by the Issuer, </w:t>
      </w:r>
      <w:r>
        <w:rPr>
          <w:b/>
          <w:bCs/>
        </w:rPr>
        <w:t>[which for the avoidance of doubt is before deduction of any applicable withholding taxes.] [Enron review]</w:t>
      </w:r>
    </w:p>
    <w:p>
      <w:pPr>
        <w:pStyle w:val="Normal"/>
        <w:tabs>
          <w:tab w:val="clear" w:pos="720"/>
          <w:tab w:val="left" w:pos="0" w:leader="none"/>
          <w:tab w:val="right" w:pos="5691" w:leader="none"/>
        </w:tabs>
        <w:rPr>
          <w:lang w:val="en-US"/>
        </w:rPr>
      </w:pPr>
      <w:r>
        <w:rPr>
          <w:lang w:val="en-US"/>
        </w:rPr>
      </w:r>
    </w:p>
    <w:p>
      <w:pPr>
        <w:pStyle w:val="Normal"/>
        <w:tabs>
          <w:tab w:val="clear" w:pos="720"/>
          <w:tab w:val="left" w:pos="4320" w:leader="none"/>
        </w:tabs>
        <w:rPr>
          <w:lang w:val="en-US"/>
        </w:rPr>
      </w:pPr>
      <w:r>
        <w:rPr>
          <w:lang w:val="en-US"/>
        </w:rPr>
        <w:t>Re-investment of Dividends:</w:t>
        <w:tab/>
        <w:t>Inapplicable</w:t>
      </w:r>
    </w:p>
    <w:p>
      <w:pPr>
        <w:pStyle w:val="Normal"/>
        <w:tabs>
          <w:tab w:val="clear" w:pos="720"/>
          <w:tab w:val="left" w:pos="4320" w:leader="none"/>
        </w:tabs>
        <w:rPr>
          <w:lang w:val="en-US"/>
        </w:rPr>
      </w:pPr>
      <w:r>
        <w:rPr>
          <w:lang w:val="en-US"/>
        </w:rPr>
      </w:r>
    </w:p>
    <w:p>
      <w:pPr>
        <w:pStyle w:val="Normal"/>
        <w:tabs>
          <w:tab w:val="clear" w:pos="720"/>
          <w:tab w:val="left" w:pos="4320" w:leader="none"/>
        </w:tabs>
        <w:rPr>
          <w:b/>
          <w:lang w:val="en-US"/>
        </w:rPr>
      </w:pPr>
      <w:r>
        <w:rPr>
          <w:b/>
          <w:lang w:val="en-US"/>
        </w:rPr>
        <w:t>Floating Amounts by Party A:</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jc w:val="both"/>
        <w:rPr>
          <w:lang w:val="en-US"/>
        </w:rPr>
      </w:pPr>
      <w:r>
        <w:rPr>
          <w:lang w:val="en-US"/>
        </w:rPr>
        <w:t>Floating Rate Payer:</w:t>
        <w:tab/>
        <w:t>Party A</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Floating Amount:</w:t>
        <w:tab/>
        <w:t xml:space="preserve">The Equity Notional Amount </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Floating Rate Payer Payment Date:</w:t>
        <w:tab/>
        <w:t>April 30, 2001; July 31, 2001; October 31, 2001; January 31 2002; April 30, 2002; and June 28, 2002.</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Floating Rate Option:</w:t>
        <w:tab/>
        <w:t>USD-LIBOR-BBA</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Designated Maturity:</w:t>
        <w:tab/>
        <w:t>Three months; provided that Linear Interpolation shall apply to the initial Calculation Period and the Calculation Period ending on June 28, 2002.</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Floating Rate Spread:</w:t>
        <w:tab/>
        <w:t>[85] basis points.</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Floating Rate Reset Dates:</w:t>
        <w:tab/>
        <w:t>Each Floating Rate Payment Date excluding the last Floating Rate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Floating Rate Day Count</w:t>
      </w:r>
    </w:p>
    <w:p>
      <w:pPr>
        <w:pStyle w:val="Normal"/>
        <w:tabs>
          <w:tab w:val="clear" w:pos="720"/>
          <w:tab w:val="left" w:pos="0" w:leader="none"/>
          <w:tab w:val="right" w:pos="5691" w:leader="none"/>
        </w:tabs>
        <w:ind w:hanging="4320" w:start="4320" w:end="0"/>
        <w:jc w:val="both"/>
        <w:rPr>
          <w:lang w:val="en-US"/>
        </w:rPr>
      </w:pPr>
      <w:r>
        <w:rPr>
          <w:lang w:val="en-US"/>
        </w:rPr>
        <w:t>Fraction:</w:t>
        <w:tab/>
        <w:t>Actual/360</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Initial Floating Rate:</w:t>
        <w:tab/>
        <w:t>To be determined two (2) London Business Days prior to the Effective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Compounding:</w:t>
        <w:tab/>
        <w:t>Inapplicable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Alternative Obligation</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Alternative Obligation</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pPr>
      <w:r>
        <w:rPr>
          <w:b/>
          <w:lang w:val="en-US"/>
        </w:rPr>
        <w:t>Insolvency:</w:t>
      </w:r>
      <w:r>
        <w:rPr>
          <w:lang w:val="en-US"/>
        </w:rPr>
        <w:tab/>
        <w:t>Negotiated Close-out</w:t>
      </w:r>
    </w:p>
    <w:p>
      <w:pPr>
        <w:pStyle w:val="Normal"/>
        <w:tabs>
          <w:tab w:val="clear" w:pos="720"/>
          <w:tab w:val="left" w:pos="4320" w:leader="none"/>
        </w:tabs>
        <w:rPr>
          <w:lang w:val="en-US"/>
        </w:rPr>
      </w:pPr>
      <w:r>
        <w:rPr>
          <w:lang w:val="en-US"/>
        </w:rPr>
      </w:r>
    </w:p>
    <w:p>
      <w:pPr>
        <w:pStyle w:val="Normal"/>
        <w:tabs>
          <w:tab w:val="clear" w:pos="720"/>
          <w:tab w:val="left" w:pos="270" w:leader="none"/>
        </w:tabs>
        <w:ind w:hanging="1501" w:start="90" w:end="-365"/>
        <w:rPr/>
      </w:pPr>
      <w:r>
        <w:rPr>
          <w:lang w:val="en-US"/>
        </w:rPr>
        <w:tab/>
        <w:t xml:space="preserve">2. </w:t>
      </w:r>
      <w:r>
        <w:rPr>
          <w:b/>
          <w:bCs/>
          <w:lang w:val="en-US"/>
        </w:rPr>
        <w:t xml:space="preserve"> Payments on Early Termination</w:t>
      </w:r>
      <w:r>
        <w:rPr>
          <w:lang w:val="en-US"/>
        </w:rPr>
        <w:t xml:space="preserve">.  If on any Early Termination Date Party B holds the Reference Portfolio, “Market Quotation” for the purposes of Section 6(e) of the Agreement shall be based on the weighted average of the prices obtained by Party B in sales of Shares comprised in the Reference Portfolio during the period from the Early Termination Date to the date 20 Business Days thereafter, inclusive, calculated in accordance with the formulae set out in Appendix A hereto. </w:t>
      </w:r>
    </w:p>
    <w:p>
      <w:pPr>
        <w:pStyle w:val="Normal"/>
        <w:tabs>
          <w:tab w:val="clear" w:pos="720"/>
          <w:tab w:val="left" w:pos="4320" w:leader="none"/>
        </w:tabs>
        <w:rPr>
          <w:b/>
          <w:u w:val="single"/>
        </w:rPr>
      </w:pPr>
      <w:r>
        <w:rPr>
          <w:lang w:val="en-US"/>
        </w:rPr>
        <w:t xml:space="preserve"> </w:t>
      </w:r>
    </w:p>
    <w:p>
      <w:pPr>
        <w:pStyle w:val="Normal"/>
        <w:rPr>
          <w:b/>
          <w:u w:val="single"/>
        </w:rPr>
      </w:pPr>
      <w:r>
        <w:rPr>
          <w:b/>
          <w:u w:val="single"/>
        </w:rPr>
      </w:r>
    </w:p>
    <w:p>
      <w:pPr>
        <w:pStyle w:val="Normal"/>
        <w:tabs>
          <w:tab w:val="clear" w:pos="720"/>
          <w:tab w:val="left" w:pos="360" w:leader="none"/>
        </w:tabs>
        <w:jc w:val="both"/>
        <w:rPr/>
      </w:pPr>
      <w:r>
        <w:rPr/>
        <w:t xml:space="preserve">3.  </w:t>
      </w:r>
      <w:r>
        <w:rPr>
          <w:b/>
        </w:rPr>
        <w:t>Representations</w:t>
      </w:r>
      <w:r>
        <w:rPr/>
        <w:t xml:space="preserve">.  To induce the other to enter into the Transaction, each party represents and warrants to the other that: (a)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(b) </w:t>
      </w:r>
      <w:r>
        <w:rPr>
          <w:u w:val="single"/>
        </w:rPr>
        <w:t>Line of Business</w:t>
      </w:r>
      <w:r>
        <w:rPr/>
        <w:t xml:space="preserve">: it is entering into this Confirmation in conjunction with its line of business (including financial intermediation services) or the financing of its business; (c) </w:t>
      </w:r>
      <w:r>
        <w:rPr>
          <w:u w:val="single"/>
        </w:rPr>
        <w:t>No Reliance and No Advisory Status</w:t>
      </w:r>
      <w:r>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(d) </w:t>
      </w:r>
      <w:r>
        <w:rPr>
          <w:u w:val="single"/>
        </w:rPr>
        <w:t>Eligible Swap Participant.</w:t>
      </w:r>
      <w:r>
        <w:rPr/>
        <w:t xml:space="preserve">  it constitutes an “eligible swap participant” as such term is defined in Rule 35.1(b)(2) of the Commodity Futures Trading Commission, 17 C.F.R. § 35.1(b)(2) (1993).</w:t>
      </w:r>
    </w:p>
    <w:p>
      <w:pPr>
        <w:pStyle w:val="Normal"/>
        <w:jc w:val="both"/>
        <w:rPr/>
      </w:pPr>
      <w:r>
        <w:rPr/>
      </w:r>
    </w:p>
    <w:p>
      <w:pPr>
        <w:pStyle w:val="Normal"/>
        <w:jc w:val="both"/>
        <w:rPr/>
      </w:pPr>
      <w:r>
        <w:rPr/>
        <w:t xml:space="preserve">4.  </w:t>
      </w:r>
      <w:r>
        <w:rPr>
          <w:b/>
          <w:bCs/>
        </w:rPr>
        <w:t>Fee.</w:t>
      </w:r>
      <w:r>
        <w:rPr/>
        <w:t xml:space="preserve">  In consideration of Party B entering into this Transaction, Party A shall pay to Party B on the date hereof a non-refundable fee of $[________.]</w:t>
      </w:r>
    </w:p>
    <w:p>
      <w:pPr>
        <w:pStyle w:val="Footer"/>
        <w:tabs>
          <w:tab w:val="clear" w:pos="4819"/>
          <w:tab w:val="clear" w:pos="9071"/>
        </w:tabs>
        <w:spacing w:before="240" w:after="0"/>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Enron North America Corp.</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t>By:______________________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Heading1"/>
        <w:ind w:hanging="0" w:start="360" w:end="0"/>
        <w:rPr/>
      </w:pPr>
      <w:r>
        <w:rPr/>
        <w:t>Cooperatieve Centrale Raiffeisen-Boerenleenbank B.A.</w:t>
      </w:r>
    </w:p>
    <w:p>
      <w:pPr>
        <w:pStyle w:val="Heading1"/>
        <w:ind w:hanging="0" w:start="360" w:end="0"/>
        <w:rPr/>
      </w:pPr>
      <w:r>
        <w:rPr/>
        <w:t>“</w:t>
      </w:r>
      <w:r>
        <w:rPr/>
        <w:t>Rabobank International”</w:t>
      </w:r>
    </w:p>
    <w:p>
      <w:pPr>
        <w:pStyle w:val="Normal"/>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start="360" w:end="0"/>
        <w:rPr/>
      </w:pPr>
      <w:r>
        <w:rPr/>
        <w:t>By:______________________</w:t>
      </w:r>
    </w:p>
    <w:p>
      <w:pPr>
        <w:pStyle w:val="Normal"/>
        <w:tabs>
          <w:tab w:val="clear" w:pos="720"/>
          <w:tab w:val="left" w:pos="4253" w:leader="none"/>
        </w:tabs>
        <w:ind w:start="360" w:end="0"/>
        <w:rPr/>
      </w:pPr>
      <w:r>
        <w:rPr/>
        <w:t>Name:</w:t>
      </w:r>
    </w:p>
    <w:p>
      <w:pPr>
        <w:pStyle w:val="Normal"/>
        <w:tabs>
          <w:tab w:val="clear" w:pos="720"/>
          <w:tab w:val="left" w:pos="4253" w:leader="none"/>
        </w:tabs>
        <w:ind w:start="360" w:end="0"/>
        <w:rPr/>
      </w:pPr>
      <w:r>
        <w:rPr/>
        <w:t>Title:</w:t>
      </w:r>
      <w:r>
        <w:br w:type="page"/>
      </w:r>
    </w:p>
    <w:p>
      <w:pPr>
        <w:pStyle w:val="Normal"/>
        <w:jc w:val="center"/>
        <w:rPr>
          <w:b/>
          <w:bCs/>
        </w:rPr>
      </w:pPr>
      <w:r>
        <w:rPr>
          <w:b/>
          <w:bCs/>
        </w:rPr>
        <w:t>APPENDIX A</w:t>
      </w:r>
    </w:p>
    <w:p>
      <w:pPr>
        <w:pStyle w:val="Normal"/>
        <w:rPr>
          <w:b/>
        </w:rPr>
      </w:pPr>
      <w:r>
        <w:rPr>
          <w:b/>
        </w:rPr>
        <w:t>Reference Portfolio Method</w:t>
      </w:r>
    </w:p>
    <w:p>
      <w:pPr>
        <w:pStyle w:val="Normal"/>
        <w:rPr>
          <w:b/>
        </w:rPr>
      </w:pPr>
      <w:r>
        <w:rPr>
          <w:b/>
        </w:rPr>
      </w:r>
    </w:p>
    <w:p>
      <w:pPr>
        <w:pStyle w:val="Normal"/>
        <w:rPr/>
      </w:pPr>
      <w:r>
        <w:rPr/>
      </w:r>
    </w:p>
    <w:p>
      <w:pPr>
        <w:pStyle w:val="Normal"/>
        <w:rPr/>
      </w:pPr>
      <w:r>
        <w:rPr/>
        <w:t>T</w:t>
        <w:tab/>
        <w:tab/>
        <w:t>Number of business days during which to sell shares, pursuant to the relevant section of the Sales Agency Agreement</w:t>
      </w:r>
    </w:p>
    <w:p>
      <w:pPr>
        <w:pStyle w:val="Normal"/>
        <w:rPr/>
      </w:pPr>
      <w:r>
        <w:rPr/>
        <w:t>S</w:t>
        <w:tab/>
        <w:tab/>
        <w:t>Total shares to be sold (1150)</w:t>
      </w:r>
    </w:p>
    <w:p>
      <w:pPr>
        <w:pStyle w:val="Normal"/>
        <w:rPr/>
      </w:pPr>
      <w:r>
        <w:rPr/>
        <w:t>X</w:t>
        <w:tab/>
        <w:tab/>
        <w:t>Actual shares sold at close of business on day T</w:t>
      </w:r>
    </w:p>
    <w:p>
      <w:pPr>
        <w:pStyle w:val="Normal"/>
        <w:rPr/>
      </w:pPr>
      <w:r>
        <w:rPr/>
        <w:t>W</w:t>
        <w:tab/>
        <w:tab/>
        <w:t>weighted average price obtained from sales</w:t>
      </w:r>
    </w:p>
    <w:p>
      <w:pPr>
        <w:pStyle w:val="Normal"/>
        <w:rPr/>
      </w:pPr>
      <w:r>
        <w:rPr/>
        <w:t>C</w:t>
        <w:tab/>
        <w:tab/>
        <w:t>weighted average closing price of final (1- X/S) days</w:t>
      </w:r>
    </w:p>
    <w:p>
      <w:pPr>
        <w:pStyle w:val="Normal"/>
        <w:rPr/>
      </w:pPr>
      <w:r>
        <w:rPr/>
        <w:t>CP(i)</w:t>
        <w:tab/>
        <w:tab/>
        <w:t xml:space="preserve">closing price of day (i), </w:t>
      </w:r>
      <w:r>
        <w:rPr>
          <w:b/>
        </w:rPr>
        <w:t>1 &lt;= i &lt;= T</w:t>
      </w:r>
      <w:r>
        <w:rPr/>
        <w:t xml:space="preserve"> </w:t>
      </w:r>
    </w:p>
    <w:p>
      <w:pPr>
        <w:pStyle w:val="Normal"/>
        <w:rPr/>
      </w:pPr>
      <w:r>
        <w:rPr/>
        <w:t>INT(p)</w:t>
        <w:tab/>
        <w:tab/>
        <w:t>integer part of a fractional number p</w:t>
      </w:r>
    </w:p>
    <w:p>
      <w:pPr>
        <w:pStyle w:val="Normal"/>
        <w:rPr/>
      </w:pPr>
      <w:r>
        <w:rPr/>
        <w:t>FRAC(p)</w:t>
        <w:tab/>
        <w:t>fractional part of a fractional number p: (FRAC(p) = p – INT(p))</w:t>
      </w:r>
    </w:p>
    <w:p>
      <w:pPr>
        <w:pStyle w:val="Normal"/>
        <w:rPr/>
      </w:pPr>
      <w:r>
        <w:rPr/>
      </w:r>
    </w:p>
    <w:p>
      <w:pPr>
        <w:pStyle w:val="Normal"/>
        <w:rPr/>
      </w:pPr>
      <w:r>
        <w:rPr/>
        <w:t>The Final Price FP if not all 1150 shares are sold, is calculated as:</w:t>
      </w:r>
    </w:p>
    <w:p>
      <w:pPr>
        <w:pStyle w:val="Normal"/>
        <w:rPr/>
      </w:pPr>
      <w:r>
        <w:rPr/>
      </w:r>
    </w:p>
    <w:p>
      <w:pPr>
        <w:pStyle w:val="Normal"/>
        <w:rPr/>
      </w:pPr>
      <w:r>
        <w:rPr/>
      </w:r>
      <m:oMathPara xmlns:m="http://schemas.openxmlformats.org/officeDocument/2006/math">
        <m:oMathParaPr>
          <m:jc m:val="left"/>
        </m:oMathParaPr>
        <m:oMath>
          <m:r>
            <m:rPr>
              <m:lit/>
              <m:nor/>
            </m:rPr>
            <m:t xml:space="preserve">FP</m:t>
          </m:r>
          <m:r>
            <m:t xml:space="preserve"> </m:t>
          </m:r>
          <m:r>
            <m:t xml:space="preserve">=</m:t>
          </m:r>
          <m:r>
            <m:t xml:space="preserve"> </m:t>
          </m:r>
          <m:f>
            <m:num>
              <m:r>
                <m:t xml:space="preserve">X</m:t>
              </m:r>
            </m:num>
            <m:den>
              <m:r>
                <m:t xml:space="preserve">S</m:t>
              </m:r>
            </m:den>
          </m:f>
          <m:r>
            <m:t xml:space="preserve">⋅</m:t>
          </m:r>
          <m:r>
            <m:t xml:space="preserve">W</m:t>
          </m:r>
          <m:r>
            <m:t xml:space="preserve"> </m:t>
          </m:r>
          <m:r>
            <m:t xml:space="preserve">+</m:t>
          </m:r>
          <m:r>
            <m:t xml:space="preserve"> </m:t>
          </m:r>
          <m:d>
            <m:dPr>
              <m:begChr m:val="("/>
              <m:endChr m:val=")"/>
            </m:dPr>
            <m:e>
              <m:r>
                <m:t xml:space="preserve">1</m:t>
              </m:r>
              <m:r>
                <m:t xml:space="preserve">−</m:t>
              </m:r>
              <m:f>
                <m:num>
                  <m:r>
                    <m:t xml:space="preserve">X</m:t>
                  </m:r>
                </m:num>
                <m:den>
                  <m:r>
                    <m:t xml:space="preserve">S</m:t>
                  </m:r>
                </m:den>
              </m:f>
            </m:e>
          </m:d>
          <m:r>
            <m:t xml:space="preserve">⋅</m:t>
          </m:r>
          <m:r>
            <m:t xml:space="preserve">C</m:t>
          </m:r>
        </m:oMath>
      </m:oMathPara>
    </w:p>
    <w:p>
      <w:pPr>
        <w:pStyle w:val="Normal"/>
        <w:rPr/>
      </w:pPr>
      <w:r>
        <w:rPr/>
        <w:t>with</w:t>
      </w:r>
    </w:p>
    <w:p>
      <w:pPr>
        <w:pStyle w:val="Normal"/>
        <w:rPr/>
      </w:pPr>
      <w:r>
        <w:rPr/>
      </w:r>
      <m:oMathPara xmlns:m="http://schemas.openxmlformats.org/officeDocument/2006/math">
        <m:oMathParaPr>
          <m:jc m:val="left"/>
        </m:oMathParaPr>
        <m:oMath>
          <m:r>
            <m:t xml:space="preserve">C</m:t>
          </m:r>
          <m:r>
            <m:t xml:space="preserve"> </m:t>
          </m:r>
          <m:r>
            <m:t xml:space="preserve">=</m:t>
          </m:r>
          <m:r>
            <m:t xml:space="preserve"> </m:t>
          </m:r>
          <m:f>
            <m:num>
              <m:nary>
                <m:naryPr>
                  <m:chr m:val="∑"/>
                </m:naryPr>
                <m:sub>
                  <m:r>
                    <m:t xml:space="preserve">i</m:t>
                  </m:r>
                  <m:r>
                    <m:t xml:space="preserve"> </m:t>
                  </m:r>
                  <m:r>
                    <m:t xml:space="preserve">=</m:t>
                  </m:r>
                  <m:r>
                    <m:t xml:space="preserve"> </m:t>
                  </m:r>
                  <m:r>
                    <m:rPr>
                      <m:lit/>
                      <m:nor/>
                    </m:rPr>
                    <m:t xml:space="preserve">INT</m:t>
                  </m:r>
                  <m:d>
                    <m:dPr>
                      <m:begChr m:val="("/>
                      <m:endChr m:val=")"/>
                    </m:dPr>
                    <m:e>
                      <m:f>
                        <m:num>
                          <m:r>
                            <m:t xml:space="preserve">X</m:t>
                          </m:r>
                        </m:num>
                        <m:den>
                          <m:r>
                            <m:t xml:space="preserve">S</m:t>
                          </m:r>
                        </m:den>
                      </m:f>
                      <m:r>
                        <m:t xml:space="preserve">⋅</m:t>
                      </m:r>
                      <m:r>
                        <m:t xml:space="preserve">T</m:t>
                      </m:r>
                    </m:e>
                  </m:d>
                  <m:r>
                    <m:t xml:space="preserve"> </m:t>
                  </m:r>
                  <m:r>
                    <m:t xml:space="preserve">+</m:t>
                  </m:r>
                  <m:r>
                    <m:t xml:space="preserve">2</m:t>
                  </m:r>
                </m:sub>
                <m:sup>
                  <m:r>
                    <m:t xml:space="preserve">T</m:t>
                  </m:r>
                </m:sup>
                <m:e>
                  <m:r>
                    <m:rPr>
                      <m:lit/>
                      <m:nor/>
                    </m:rPr>
                    <m:t xml:space="preserve">CP</m:t>
                  </m:r>
                  <m:r>
                    <m:t xml:space="preserve">(</m:t>
                  </m:r>
                  <m:r>
                    <m:t xml:space="preserve">i</m:t>
                  </m:r>
                  <m:r>
                    <m:t xml:space="preserve">)</m:t>
                  </m:r>
                </m:e>
              </m:nary>
              <m:r>
                <m:t xml:space="preserve"> </m:t>
              </m:r>
              <m:r>
                <m:t xml:space="preserve">+</m:t>
              </m:r>
              <m:d>
                <m:dPr>
                  <m:begChr m:val="("/>
                  <m:endChr m:val=")"/>
                </m:dPr>
                <m:e>
                  <m:r>
                    <m:t xml:space="preserve"> </m:t>
                  </m:r>
                  <m:r>
                    <m:t xml:space="preserve">1</m:t>
                  </m:r>
                  <m:r>
                    <m:t xml:space="preserve">−</m:t>
                  </m:r>
                  <m:r>
                    <m:rPr>
                      <m:lit/>
                      <m:nor/>
                    </m:rPr>
                    <m:t xml:space="preserve">FRAC</m:t>
                  </m:r>
                  <m:d>
                    <m:dPr>
                      <m:begChr m:val="("/>
                      <m:endChr m:val=")"/>
                    </m:dPr>
                    <m:e>
                      <m:f>
                        <m:num>
                          <m:r>
                            <m:t xml:space="preserve">X</m:t>
                          </m:r>
                        </m:num>
                        <m:den>
                          <m:r>
                            <m:t xml:space="preserve">S</m:t>
                          </m:r>
                        </m:den>
                      </m:f>
                      <m:r>
                        <m:t xml:space="preserve">⋅</m:t>
                      </m:r>
                      <m:r>
                        <m:t xml:space="preserve">T</m:t>
                      </m:r>
                    </m:e>
                  </m:d>
                </m:e>
              </m:d>
              <m:r>
                <m:t xml:space="preserve">⋅</m:t>
              </m:r>
              <m:r>
                <m:rPr>
                  <m:lit/>
                  <m:nor/>
                </m:rPr>
                <m:t xml:space="preserve">CP</m:t>
              </m:r>
              <m:d>
                <m:dPr>
                  <m:begChr m:val="("/>
                  <m:endChr m:val=")"/>
                </m:dPr>
                <m:e>
                  <m:r>
                    <m:rPr>
                      <m:lit/>
                      <m:nor/>
                    </m:rPr>
                    <m:t xml:space="preserve">INT</m:t>
                  </m:r>
                  <m:d>
                    <m:dPr>
                      <m:begChr m:val="("/>
                      <m:endChr m:val=")"/>
                    </m:dPr>
                    <m:e>
                      <m:f>
                        <m:num>
                          <m:r>
                            <m:t xml:space="preserve">X</m:t>
                          </m:r>
                        </m:num>
                        <m:den>
                          <m:r>
                            <m:t xml:space="preserve">S</m:t>
                          </m:r>
                        </m:den>
                      </m:f>
                      <m:r>
                        <m:t xml:space="preserve">⋅</m:t>
                      </m:r>
                      <m:r>
                        <m:t xml:space="preserve">T</m:t>
                      </m:r>
                    </m:e>
                  </m:d>
                  <m:r>
                    <m:t xml:space="preserve">+</m:t>
                  </m:r>
                  <m:r>
                    <m:t xml:space="preserve">1</m:t>
                  </m:r>
                </m:e>
              </m:d>
            </m:num>
            <m:den>
              <m:d>
                <m:dPr>
                  <m:begChr m:val="("/>
                  <m:endChr m:val=")"/>
                </m:dPr>
                <m:e>
                  <m:r>
                    <m:t xml:space="preserve">1</m:t>
                  </m:r>
                  <m:r>
                    <m:t xml:space="preserve"> </m:t>
                  </m:r>
                  <m:r>
                    <m:t xml:space="preserve">−</m:t>
                  </m:r>
                  <m:r>
                    <m:t xml:space="preserve"> </m:t>
                  </m:r>
                  <m:f>
                    <m:num>
                      <m:r>
                        <m:t xml:space="preserve">X</m:t>
                      </m:r>
                    </m:num>
                    <m:den>
                      <m:r>
                        <m:t xml:space="preserve">S</m:t>
                      </m:r>
                    </m:den>
                  </m:f>
                </m:e>
              </m:d>
              <m:r>
                <m:t xml:space="preserve">⋅</m:t>
              </m:r>
              <m:r>
                <m:t xml:space="preserve">T</m:t>
              </m:r>
            </m:den>
          </m:f>
          <m:r>
            <m:t xml:space="preserve"> </m:t>
          </m:r>
          <m:r>
            <m:rPr>
              <m:lit/>
              <m:nor/>
            </m:rPr>
            <m:t xml:space="preserve">if</m:t>
          </m:r>
          <m:r>
            <m:t xml:space="preserve"> </m:t>
          </m:r>
          <m:r>
            <m:rPr>
              <m:lit/>
              <m:nor/>
            </m:rPr>
            <m:t xml:space="preserve">INT</m:t>
          </m:r>
          <m:d>
            <m:dPr>
              <m:begChr m:val="("/>
              <m:endChr m:val=")"/>
            </m:dPr>
            <m:e>
              <m:f>
                <m:num>
                  <m:r>
                    <m:t xml:space="preserve">X</m:t>
                  </m:r>
                </m:num>
                <m:den>
                  <m:r>
                    <m:t xml:space="preserve">S</m:t>
                  </m:r>
                </m:den>
              </m:f>
              <m:r>
                <m:t xml:space="preserve">⋅</m:t>
              </m:r>
              <m:r>
                <m:t xml:space="preserve">T</m:t>
              </m:r>
            </m:e>
          </m:d>
          <m:r>
            <m:t xml:space="preserve"> </m:t>
          </m:r>
          <m:r>
            <m:t xml:space="preserve">&lt;</m:t>
          </m:r>
          <m:r>
            <m:t xml:space="preserve"> </m:t>
          </m:r>
          <m:r>
            <m:t xml:space="preserve">T</m:t>
          </m:r>
          <m:r>
            <m:t xml:space="preserve">−</m:t>
          </m:r>
          <m:r>
            <m:t xml:space="preserve">1</m:t>
          </m:r>
        </m:oMath>
      </m:oMathPara>
    </w:p>
    <w:p>
      <w:pPr>
        <w:pStyle w:val="Normal"/>
        <w:rPr/>
      </w:pPr>
      <w:r>
        <w:rPr/>
      </w:r>
      <m:oMathPara xmlns:m="http://schemas.openxmlformats.org/officeDocument/2006/math">
        <m:oMathParaPr>
          <m:jc m:val="left"/>
        </m:oMathParaPr>
        <m:oMath>
          <m:r>
            <m:t xml:space="preserve">C</m:t>
          </m:r>
          <m:r>
            <m:t xml:space="preserve"> </m:t>
          </m:r>
          <m:r>
            <m:t xml:space="preserve">=</m:t>
          </m:r>
          <m:r>
            <m:t xml:space="preserve"> </m:t>
          </m:r>
          <m:f>
            <m:num>
              <m:d>
                <m:dPr>
                  <m:begChr m:val="("/>
                  <m:endChr m:val=")"/>
                </m:dPr>
                <m:e>
                  <m:r>
                    <m:t xml:space="preserve"> </m:t>
                  </m:r>
                  <m:r>
                    <m:t xml:space="preserve">1</m:t>
                  </m:r>
                  <m:r>
                    <m:t xml:space="preserve">−</m:t>
                  </m:r>
                  <m:r>
                    <m:rPr>
                      <m:lit/>
                      <m:nor/>
                    </m:rPr>
                    <m:t xml:space="preserve">FRAC</m:t>
                  </m:r>
                  <m:d>
                    <m:dPr>
                      <m:begChr m:val="("/>
                      <m:endChr m:val=")"/>
                    </m:dPr>
                    <m:e>
                      <m:f>
                        <m:num>
                          <m:r>
                            <m:t xml:space="preserve">X</m:t>
                          </m:r>
                        </m:num>
                        <m:den>
                          <m:r>
                            <m:t xml:space="preserve">S</m:t>
                          </m:r>
                        </m:den>
                      </m:f>
                      <m:r>
                        <m:t xml:space="preserve">⋅</m:t>
                      </m:r>
                      <m:r>
                        <m:t xml:space="preserve">T</m:t>
                      </m:r>
                    </m:e>
                  </m:d>
                </m:e>
              </m:d>
              <m:r>
                <m:t xml:space="preserve">⋅</m:t>
              </m:r>
              <m:r>
                <m:rPr>
                  <m:lit/>
                  <m:nor/>
                </m:rPr>
                <m:t xml:space="preserve">CP</m:t>
              </m:r>
              <m:d>
                <m:dPr>
                  <m:begChr m:val="("/>
                  <m:endChr m:val=")"/>
                </m:dPr>
                <m:e>
                  <m:r>
                    <m:rPr>
                      <m:lit/>
                      <m:nor/>
                    </m:rPr>
                    <m:t xml:space="preserve">INT</m:t>
                  </m:r>
                  <m:d>
                    <m:dPr>
                      <m:begChr m:val="("/>
                      <m:endChr m:val=")"/>
                    </m:dPr>
                    <m:e>
                      <m:f>
                        <m:num>
                          <m:r>
                            <m:t xml:space="preserve">X</m:t>
                          </m:r>
                        </m:num>
                        <m:den>
                          <m:r>
                            <m:t xml:space="preserve">S</m:t>
                          </m:r>
                        </m:den>
                      </m:f>
                      <m:r>
                        <m:t xml:space="preserve">⋅</m:t>
                      </m:r>
                      <m:r>
                        <m:t xml:space="preserve">T</m:t>
                      </m:r>
                      <m:r>
                        <m:t xml:space="preserve">+</m:t>
                      </m:r>
                      <m:r>
                        <m:t xml:space="preserve">1</m:t>
                      </m:r>
                    </m:e>
                  </m:d>
                </m:e>
              </m:d>
            </m:num>
            <m:den>
              <m:d>
                <m:dPr>
                  <m:begChr m:val="("/>
                  <m:endChr m:val=")"/>
                </m:dPr>
                <m:e>
                  <m:r>
                    <m:t xml:space="preserve">1</m:t>
                  </m:r>
                  <m:r>
                    <m:t xml:space="preserve"> </m:t>
                  </m:r>
                  <m:r>
                    <m:t xml:space="preserve">−</m:t>
                  </m:r>
                  <m:r>
                    <m:t xml:space="preserve"> </m:t>
                  </m:r>
                  <m:f>
                    <m:num>
                      <m:r>
                        <m:t xml:space="preserve">X</m:t>
                      </m:r>
                    </m:num>
                    <m:den>
                      <m:r>
                        <m:t xml:space="preserve">S</m:t>
                      </m:r>
                    </m:den>
                  </m:f>
                </m:e>
              </m:d>
              <m:r>
                <m:t xml:space="preserve">⋅</m:t>
              </m:r>
              <m:r>
                <m:t xml:space="preserve">T</m:t>
              </m:r>
            </m:den>
          </m:f>
          <m:r>
            <m:t xml:space="preserve"> </m:t>
          </m:r>
          <m:r>
            <m:rPr>
              <m:lit/>
              <m:nor/>
            </m:rPr>
            <m:t xml:space="preserve">if</m:t>
          </m:r>
          <m:r>
            <m:t xml:space="preserve"> </m:t>
          </m:r>
          <m:r>
            <m:rPr>
              <m:lit/>
              <m:nor/>
            </m:rPr>
            <m:t xml:space="preserve">INT</m:t>
          </m:r>
          <m:d>
            <m:dPr>
              <m:begChr m:val="("/>
              <m:endChr m:val=")"/>
            </m:dPr>
            <m:e>
              <m:f>
                <m:num>
                  <m:r>
                    <m:t xml:space="preserve">X</m:t>
                  </m:r>
                </m:num>
                <m:den>
                  <m:r>
                    <m:t xml:space="preserve">S</m:t>
                  </m:r>
                </m:den>
              </m:f>
              <m:r>
                <m:t xml:space="preserve">⋅</m:t>
              </m:r>
              <m:r>
                <m:t xml:space="preserve">T</m:t>
              </m:r>
            </m:e>
          </m:d>
          <m:r>
            <m:t xml:space="preserve"> </m:t>
          </m:r>
          <m:r>
            <m:t xml:space="preserve">=</m:t>
          </m:r>
          <m:r>
            <m:t xml:space="preserve"> </m:t>
          </m:r>
          <m:r>
            <m:t xml:space="preserve">T</m:t>
          </m:r>
          <m:r>
            <m:t xml:space="preserve">−</m:t>
          </m:r>
          <m:r>
            <m:t xml:space="preserve">1</m:t>
          </m:r>
        </m:oMath>
      </m:oMathPara>
    </w:p>
    <w:p>
      <w:pPr>
        <w:pStyle w:val="Normal"/>
        <w:rPr/>
      </w:pPr>
      <w:r>
        <w:rPr/>
      </w:r>
    </w:p>
    <w:p>
      <w:pPr>
        <w:pStyle w:val="Normal"/>
        <w:rPr/>
      </w:pPr>
      <w:r>
        <w:rPr/>
        <w:t>If INT(X/S*T)=T, all the shares have been sold and therefore the Final Price is the weighted average of the prices obtained for the 1150 shares in the Reference Portfolio.</w:t>
      </w:r>
    </w:p>
    <w:p>
      <w:pPr>
        <w:pStyle w:val="Normal"/>
        <w:tabs>
          <w:tab w:val="clear" w:pos="720"/>
          <w:tab w:val="left" w:pos="4253" w:leader="none"/>
        </w:tabs>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49225" cy="146685"/>
              <wp:effectExtent l="0" t="0" r="0" b="0"/>
              <wp:wrapSquare wrapText="bothSides"/>
              <wp:docPr id="4" name="Frame3"/>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43890" cy="293370"/>
              <wp:effectExtent l="0" t="0" r="0" b="0"/>
              <wp:wrapSquare wrapText="bothSides"/>
              <wp:docPr id="5" name="Frame2"/>
              <a:graphic xmlns:a="http://schemas.openxmlformats.org/drawingml/2006/main">
                <a:graphicData uri="http://schemas.microsoft.com/office/word/2010/wordprocessingShape">
                  <wps:wsp>
                    <wps:cNvSpPr txBox="1"/>
                    <wps:spPr>
                      <a:xfrm>
                        <a:off x="0" y="0"/>
                        <a:ext cx="643890" cy="293370"/>
                      </a:xfrm>
                      <a:prstGeom prst="rect"/>
                      <a:solidFill>
                        <a:srgbClr val="FFFFFF">
                          <a:alpha val="0"/>
                        </a:srgbClr>
                      </a:solidFill>
                    </wps:spPr>
                    <wps:txbx>
                      <w:txbxContent>
                        <w:p>
                          <w:pPr>
                            <w:pStyle w:val="Normal"/>
                            <w:rPr>
                              <w:rStyle w:val="DocID"/>
                              <w:sz w:val="16"/>
                            </w:rPr>
                          </w:pPr>
                          <w:bookmarkStart w:id="0" w:name="bkFooterDocID"/>
                          <w:bookmarkStart w:id="1" w:name="bkEndId"/>
                          <w:bookmarkEnd w:id="0"/>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DAL:278741.5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7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 w:name="bkFooterDocID"/>
                    <w:bookmarkStart w:id="3" w:name="bkEndId"/>
                    <w:bookmarkEnd w:id="2"/>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DAL:278741.5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character" w:styleId="WW8Num1z0">
    <w:name w:val="WW8Num1z0"/>
    <w:qFormat/>
    <w:rPr>
      <w:b/>
    </w:rPr>
  </w:style>
  <w:style w:type="character" w:styleId="WW8Num2z0">
    <w:name w:val="WW8Num2z0"/>
    <w:qFormat/>
    <w:rPr/>
  </w:style>
  <w:style w:type="character" w:styleId="WW8Num3z0">
    <w:name w:val="WW8Num3z0"/>
    <w:qFormat/>
    <w:rPr>
      <w:b/>
      <w:u w:val="single"/>
    </w:rPr>
  </w:style>
  <w:style w:type="character" w:styleId="WW8Num4z0">
    <w:name w:val="WW8Num4z0"/>
    <w:qFormat/>
    <w:rPr>
      <w:b w:val="false"/>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character" w:styleId="DocID">
    <w:name w:val="DocID"/>
    <w:basedOn w:val="DefaultParagraphFont"/>
    <w:qFormat/>
    <w:rPr>
      <w:sz w:val="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2001-01-30T23:02:00Z</dcterms:created>
  <dc:creator>Shari Stack</dc:creator>
  <dc:description/>
  <dc:language>en-CA</dc:language>
  <cp:lastModifiedBy>A&amp;K</cp:lastModifiedBy>
  <cp:lastPrinted>2001-01-30T01:16:00Z</cp:lastPrinted>
  <dcterms:modified xsi:type="dcterms:W3CDTF">2001-01-30T23:02:00Z</dcterms:modified>
  <cp:revision>2</cp:revision>
  <dc:subject/>
  <dc:title>Confirmation of OTC Equity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DAL:278741.5 </vt:lpwstr>
  </property>
</Properties>
</file>