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tabs>
          <w:tab w:val="left" w:pos="-720" w:leader="none"/>
          <w:tab w:val="left" w:pos="5040" w:leader="none"/>
        </w:tabs>
        <w:ind w:hanging="0" w:start="0"/>
        <w:rPr>
          <w:rFonts w:cs="Arial"/>
          <w:bCs/>
          <w:iCs/>
          <w:color w:val="0000FF"/>
        </w:rPr>
      </w:pPr>
      <w:r>
        <w:rPr>
          <w:rFonts w:cs="Brush Script MT" w:ascii="Brush Script MT" w:hAnsi="Brush Script MT"/>
          <w:b w:val="false"/>
          <w:i/>
          <w:color w:val="0000FF"/>
        </w:rPr>
        <w:drawing>
          <wp:inline distT="0" distB="0" distL="0" distR="0">
            <wp:extent cx="828040" cy="8940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95" t="-88" r="-95" b="-88"/>
                    <a:stretch>
                      <a:fillRect/>
                    </a:stretch>
                  </pic:blipFill>
                  <pic:spPr bwMode="auto">
                    <a:xfrm>
                      <a:off x="0" y="0"/>
                      <a:ext cx="828040" cy="894080"/>
                    </a:xfrm>
                    <a:prstGeom prst="rect">
                      <a:avLst/>
                    </a:prstGeom>
                    <a:noFill/>
                  </pic:spPr>
                </pic:pic>
              </a:graphicData>
            </a:graphic>
          </wp:inline>
        </w:drawing>
      </w:r>
      <w:r>
        <w:rPr>
          <w:rFonts w:cs="Brush Script MT" w:ascii="Brush Script MT" w:hAnsi="Brush Script MT"/>
          <w:b w:val="false"/>
          <w:i/>
          <w:color w:val="0000FF"/>
        </w:rPr>
        <w:tab/>
      </w:r>
      <w:r>
        <w:rPr>
          <w:rFonts w:cs="Arial"/>
          <w:bCs/>
          <w:iCs/>
        </w:rPr>
        <w:t>BP Energy Company</w:t>
      </w:r>
    </w:p>
    <w:p>
      <w:pPr>
        <w:pStyle w:val="Heading1"/>
        <w:tabs>
          <w:tab w:val="left" w:pos="-720" w:leader="none"/>
          <w:tab w:val="left" w:pos="5040" w:leader="none"/>
        </w:tabs>
        <w:ind w:hanging="0" w:start="0"/>
        <w:rPr/>
      </w:pPr>
      <w:r>
        <w:rPr>
          <w:rFonts w:cs="Brush Script MT" w:ascii="Brush Script MT" w:hAnsi="Brush Script MT"/>
          <w:b w:val="false"/>
          <w:i/>
          <w:color w:val="0000FF"/>
        </w:rPr>
        <w:tab/>
      </w:r>
      <w:r>
        <w:rPr>
          <w:sz w:val="20"/>
        </w:rPr>
        <w:t>Gas and Power North America</w:t>
      </w:r>
    </w:p>
    <w:p>
      <w:pPr>
        <w:pStyle w:val="Normal"/>
        <w:tabs>
          <w:tab w:val="clear" w:pos="720"/>
          <w:tab w:val="left" w:pos="-720" w:leader="none"/>
          <w:tab w:val="left" w:pos="5040" w:leader="none"/>
        </w:tabs>
        <w:suppressAutoHyphens w:val="true"/>
        <w:rPr>
          <w:rFonts w:ascii="Arial" w:hAnsi="Arial" w:cs="Arial"/>
          <w:spacing w:val="-2"/>
          <w:sz w:val="16"/>
        </w:rPr>
      </w:pPr>
      <w:r>
        <w:rPr>
          <w:rFonts w:cs="Arial" w:ascii="Arial" w:hAnsi="Arial"/>
          <w:spacing w:val="-2"/>
          <w:sz w:val="16"/>
        </w:rPr>
        <w:tab/>
        <w:t>501 WestLake Park Boulevard, 77079</w:t>
      </w:r>
    </w:p>
    <w:p>
      <w:pPr>
        <w:pStyle w:val="Normal"/>
        <w:tabs>
          <w:tab w:val="clear" w:pos="720"/>
          <w:tab w:val="left" w:pos="-720" w:leader="none"/>
          <w:tab w:val="left" w:pos="5040" w:leader="none"/>
        </w:tabs>
        <w:suppressAutoHyphens w:val="true"/>
        <w:rPr>
          <w:rFonts w:ascii="Arial" w:hAnsi="Arial" w:cs="Arial"/>
          <w:spacing w:val="-2"/>
          <w:sz w:val="16"/>
        </w:rPr>
      </w:pPr>
      <w:r>
        <w:rPr>
          <w:rFonts w:cs="Arial" w:ascii="Arial" w:hAnsi="Arial"/>
          <w:spacing w:val="-2"/>
          <w:sz w:val="16"/>
        </w:rPr>
        <w:tab/>
        <w:t>Post Office Box 3092</w:t>
      </w:r>
    </w:p>
    <w:p>
      <w:pPr>
        <w:pStyle w:val="Normal"/>
        <w:tabs>
          <w:tab w:val="clear" w:pos="720"/>
          <w:tab w:val="left" w:pos="-720" w:leader="none"/>
          <w:tab w:val="left" w:pos="5040" w:leader="none"/>
        </w:tabs>
        <w:suppressAutoHyphens w:val="true"/>
        <w:rPr/>
      </w:pPr>
      <w:r>
        <w:rPr>
          <w:rFonts w:cs="Arial" w:ascii="Arial" w:hAnsi="Arial"/>
          <w:b/>
          <w:spacing w:val="-2"/>
          <w:sz w:val="16"/>
        </w:rPr>
        <w:t>Timothy R. Miller</w:t>
      </w:r>
      <w:r>
        <w:rPr>
          <w:rFonts w:cs="Arial" w:ascii="Arial" w:hAnsi="Arial"/>
          <w:spacing w:val="-2"/>
          <w:sz w:val="16"/>
        </w:rPr>
        <w:tab/>
        <w:t>Houston, Texas 77253-3092</w:t>
      </w:r>
    </w:p>
    <w:p>
      <w:pPr>
        <w:pStyle w:val="Normal"/>
        <w:tabs>
          <w:tab w:val="clear" w:pos="720"/>
          <w:tab w:val="left" w:pos="-720" w:leader="none"/>
          <w:tab w:val="left" w:pos="5040" w:leader="none"/>
        </w:tabs>
        <w:suppressAutoHyphens w:val="true"/>
        <w:rPr/>
      </w:pPr>
      <w:r>
        <w:rPr>
          <w:rFonts w:cs="Arial" w:ascii="Arial" w:hAnsi="Arial"/>
          <w:b/>
          <w:spacing w:val="-2"/>
          <w:sz w:val="16"/>
        </w:rPr>
        <w:t>Asset Manager – Western U.S.</w:t>
      </w:r>
      <w:r>
        <w:rPr>
          <w:rFonts w:cs="Arial" w:ascii="Arial" w:hAnsi="Arial"/>
          <w:spacing w:val="-2"/>
          <w:sz w:val="16"/>
        </w:rPr>
        <w:tab/>
        <w:t>Telephone: 281-366-4965</w:t>
      </w:r>
    </w:p>
    <w:p>
      <w:pPr>
        <w:pStyle w:val="Normal"/>
        <w:tabs>
          <w:tab w:val="clear" w:pos="720"/>
          <w:tab w:val="left" w:pos="5040" w:leader="none"/>
          <w:tab w:val="left" w:pos="5760" w:leader="none"/>
        </w:tabs>
        <w:jc w:val="both"/>
        <w:rPr>
          <w:rFonts w:ascii="Arial" w:hAnsi="Arial" w:cs="Arial"/>
          <w:b/>
          <w:spacing w:val="-2"/>
          <w:sz w:val="16"/>
        </w:rPr>
      </w:pPr>
      <w:r>
        <w:rPr>
          <w:rFonts w:cs="Arial" w:ascii="Arial" w:hAnsi="Arial"/>
          <w:b/>
          <w:spacing w:val="-2"/>
          <w:sz w:val="16"/>
        </w:rPr>
        <w:tab/>
      </w:r>
      <w:r>
        <w:rPr>
          <w:rFonts w:cs="Arial" w:ascii="Arial" w:hAnsi="Arial"/>
          <w:spacing w:val="-2"/>
          <w:sz w:val="16"/>
        </w:rPr>
        <w:t>Facsimile: 281-366-4932</w:t>
      </w:r>
    </w:p>
    <w:p>
      <w:pPr>
        <w:pStyle w:val="Normal"/>
        <w:tabs>
          <w:tab w:val="clear" w:pos="720"/>
          <w:tab w:val="left" w:pos="-720" w:leader="none"/>
        </w:tabs>
        <w:suppressAutoHyphens w:val="true"/>
        <w:rPr>
          <w:rFonts w:ascii="Arial" w:hAnsi="Arial" w:cs="Arial"/>
          <w:b/>
          <w:spacing w:val="-2"/>
          <w:sz w:val="16"/>
        </w:rPr>
      </w:pPr>
      <w:r>
        <w:rPr>
          <w:rFonts w:cs="Arial" w:ascii="Arial" w:hAnsi="Arial"/>
          <w:b/>
          <w:spacing w:val="-2"/>
          <w:sz w:val="16"/>
        </w:rPr>
      </w:r>
    </w:p>
    <w:p>
      <w:pPr>
        <w:pStyle w:val="Normal"/>
        <w:rPr/>
      </w:pPr>
      <w:r>
        <w:rPr/>
        <w:t>October 19, 2001</w:t>
      </w:r>
    </w:p>
    <w:p>
      <w:pPr>
        <w:pStyle w:val="Normal"/>
        <w:rPr/>
      </w:pPr>
      <w:r>
        <w:rPr/>
      </w:r>
    </w:p>
    <w:p>
      <w:pPr>
        <w:pStyle w:val="Normal"/>
        <w:rPr/>
      </w:pPr>
      <w:r>
        <w:rPr/>
        <w:t>Enron North America</w:t>
      </w:r>
    </w:p>
    <w:p>
      <w:pPr>
        <w:pStyle w:val="Normal"/>
        <w:rPr/>
      </w:pPr>
      <w:r>
        <w:rPr/>
      </w:r>
    </w:p>
    <w:p>
      <w:pPr>
        <w:pStyle w:val="Normal"/>
        <w:rPr/>
      </w:pPr>
      <w:r>
        <w:rPr/>
        <w:t>Attention: Mr. Paul Lucci</w:t>
      </w:r>
    </w:p>
    <w:p>
      <w:pPr>
        <w:pStyle w:val="Normal"/>
        <w:rPr/>
      </w:pPr>
      <w:r>
        <w:rPr/>
        <w:t xml:space="preserve">Via Email </w:t>
      </w:r>
    </w:p>
    <w:p>
      <w:pPr>
        <w:pStyle w:val="Normal"/>
        <w:rPr/>
      </w:pPr>
      <w:r>
        <w:rPr/>
      </w:r>
    </w:p>
    <w:p>
      <w:pPr>
        <w:pStyle w:val="Heading7"/>
        <w:ind w:hanging="0" w:start="0"/>
        <w:rPr>
          <w:u w:val="single"/>
        </w:rPr>
      </w:pPr>
      <w:r>
        <w:rPr>
          <w:u w:val="single"/>
        </w:rPr>
        <w:t>Request for Proposal</w:t>
      </w:r>
    </w:p>
    <w:p>
      <w:pPr>
        <w:pStyle w:val="Normal"/>
        <w:jc w:val="both"/>
        <w:rPr>
          <w:u w:val="single"/>
        </w:rPr>
      </w:pPr>
      <w:r>
        <w:rPr>
          <w:u w:val="single"/>
        </w:rPr>
      </w:r>
    </w:p>
    <w:p>
      <w:pPr>
        <w:pStyle w:val="Normal"/>
        <w:jc w:val="both"/>
        <w:rPr/>
      </w:pPr>
      <w:r>
        <w:rPr/>
        <w:t>As the marketing affiliate of a major producer of natural gas in North America, BP Energy Company is soliciting proposals for the sale of baseload gas supply on the Amoco and Red Cedar gathering systems in the  Durango, Colorado area of the San Juan Basin.</w:t>
      </w:r>
    </w:p>
    <w:p>
      <w:pPr>
        <w:pStyle w:val="Normal"/>
        <w:jc w:val="both"/>
        <w:rPr/>
      </w:pPr>
      <w:r>
        <w:rPr/>
      </w:r>
    </w:p>
    <w:p>
      <w:pPr>
        <w:pStyle w:val="Normal"/>
        <w:jc w:val="both"/>
        <w:rPr/>
      </w:pPr>
      <w:r>
        <w:rPr/>
        <w:t>Interested parties may submit bids for the following package:</w:t>
      </w:r>
    </w:p>
    <w:p>
      <w:pPr>
        <w:pStyle w:val="Normal"/>
        <w:jc w:val="both"/>
        <w:rPr/>
      </w:pPr>
      <w:r>
        <w:rPr/>
      </w:r>
    </w:p>
    <w:p>
      <w:pPr>
        <w:pStyle w:val="Normal"/>
        <w:ind w:hanging="2160" w:start="2160" w:end="0"/>
        <w:jc w:val="both"/>
        <w:rPr/>
      </w:pPr>
      <w:r>
        <w:rPr/>
        <w:t>TERM:</w:t>
        <w:tab/>
        <w:t>November 1, 2001 through March 31, 2002</w:t>
      </w:r>
    </w:p>
    <w:p>
      <w:pPr>
        <w:pStyle w:val="Normal"/>
        <w:jc w:val="both"/>
        <w:rPr/>
      </w:pPr>
      <w:r>
        <w:rPr/>
        <w:tab/>
        <w:tab/>
        <w:tab/>
        <w:tab/>
        <w:tab/>
        <w:tab/>
        <w:tab/>
        <w:tab/>
      </w:r>
    </w:p>
    <w:p>
      <w:pPr>
        <w:pStyle w:val="Normal"/>
        <w:ind w:hanging="2160" w:start="2160" w:end="0"/>
        <w:jc w:val="both"/>
        <w:rPr/>
      </w:pPr>
      <w:r>
        <w:rPr/>
        <w:t>DAILY CONTRACT</w:t>
        <w:tab/>
        <w:t>Full-entitled share of wellhead production on a daily basis up to the full-entitled</w:t>
      </w:r>
    </w:p>
    <w:p>
      <w:pPr>
        <w:pStyle w:val="Normal"/>
        <w:ind w:hanging="2160" w:start="2160" w:end="0"/>
        <w:jc w:val="both"/>
        <w:rPr/>
      </w:pPr>
      <w:r>
        <w:rPr/>
        <w:t>QUANTITY</w:t>
        <w:tab/>
        <w:t xml:space="preserve"> share of Amoco Production Company’s production from these wells, which is approximately 50,000 MMBtu/day. Buyer agrees to nominate and purchase the agreed upon Daily Contract Quantity for each Production Area on a firm daily basis and Seller agrees to supply Buyer’s nomination (within the Daily Contract Quantity) on a daily firm basis.  Seller will notify Buyer five business days prior to the first day of the following production month of the full-entitled share of wellhead production.</w:t>
      </w:r>
    </w:p>
    <w:p>
      <w:pPr>
        <w:pStyle w:val="Normal"/>
        <w:ind w:hanging="2160" w:start="2160" w:end="0"/>
        <w:jc w:val="both"/>
        <w:rPr/>
      </w:pPr>
      <w:r>
        <w:rPr/>
      </w:r>
    </w:p>
    <w:p>
      <w:pPr>
        <w:pStyle w:val="Normal"/>
        <w:ind w:hanging="2160" w:start="2160" w:end="0"/>
        <w:jc w:val="both"/>
        <w:rPr/>
      </w:pPr>
      <w:r>
        <w:rPr/>
        <w:t>PRICING:</w:t>
        <w:tab/>
        <w:t xml:space="preserve">Fixed, NYMEX basis, or Index based pricing terms.   </w:t>
      </w:r>
    </w:p>
    <w:p>
      <w:pPr>
        <w:pStyle w:val="Normal"/>
        <w:ind w:hanging="2160" w:start="2160" w:end="0"/>
        <w:jc w:val="both"/>
        <w:rPr/>
      </w:pPr>
      <w:r>
        <w:rPr/>
      </w:r>
    </w:p>
    <w:p>
      <w:pPr>
        <w:pStyle w:val="Normal"/>
        <w:ind w:hanging="2160" w:start="2160" w:end="0"/>
        <w:jc w:val="both"/>
        <w:rPr/>
      </w:pPr>
      <w:r>
        <w:rPr/>
        <w:t>DELIVERY POINT(S):</w:t>
        <w:tab/>
        <w:t>At the wellheads of the wells identified on Exhibit “A”</w:t>
      </w:r>
    </w:p>
    <w:p>
      <w:pPr>
        <w:pStyle w:val="Normal"/>
        <w:ind w:hanging="2160" w:start="2160" w:end="0"/>
        <w:jc w:val="both"/>
        <w:rPr/>
      </w:pPr>
      <w:r>
        <w:rPr/>
        <w:tab/>
        <w:tab/>
        <w:tab/>
      </w:r>
    </w:p>
    <w:p>
      <w:pPr>
        <w:pStyle w:val="Normal"/>
        <w:ind w:hanging="2160" w:start="2160" w:end="0"/>
        <w:jc w:val="both"/>
        <w:rPr/>
      </w:pPr>
      <w:r>
        <w:rPr/>
        <w:t>REMEDIES:</w:t>
        <w:tab/>
        <w:t xml:space="preserve">If on any day Buyer fails to nominate for delivery the Daily Contract Quantity to as many cycles as may be needed to sell the gas, during the term of this Agreement, Seller may cancel this Agreement and market gas itself.         </w:t>
      </w:r>
    </w:p>
    <w:p>
      <w:pPr>
        <w:pStyle w:val="Normal"/>
        <w:ind w:hanging="2160" w:start="2160" w:end="0"/>
        <w:jc w:val="both"/>
        <w:rPr/>
      </w:pPr>
      <w:r>
        <w:rPr/>
      </w:r>
    </w:p>
    <w:p>
      <w:pPr>
        <w:pStyle w:val="Normal"/>
        <w:ind w:hanging="2160" w:start="2160" w:end="0"/>
        <w:jc w:val="both"/>
        <w:rPr/>
      </w:pPr>
      <w:r>
        <w:rPr/>
        <w:t>PAYMENT:</w:t>
        <w:tab/>
        <w:t>Seller shall invoice Buyer, by facsimile, based on nominated quantities of gas delivered and sold to Buyer at the Point(s) of Delivery. Buyer shall make payment within ten (10) days of receipt of such invoice.</w:t>
      </w:r>
    </w:p>
    <w:p>
      <w:pPr>
        <w:pStyle w:val="Normal"/>
        <w:ind w:hanging="2160" w:start="2160" w:end="0"/>
        <w:jc w:val="both"/>
        <w:rPr/>
      </w:pPr>
      <w:r>
        <w:rPr/>
      </w:r>
    </w:p>
    <w:p>
      <w:pPr>
        <w:pStyle w:val="Normal"/>
        <w:ind w:hanging="2160" w:start="2160" w:end="0"/>
        <w:jc w:val="both"/>
        <w:rPr/>
      </w:pPr>
      <w:r>
        <w:rPr/>
        <w:t>CONTRACT TERMS:</w:t>
        <w:tab/>
        <w:t>The Buyer(s) selected by BP Energy Company will be required to execute a Base Gas Sales Contract (enclosed) prior to gas flowing.  Gas will not flow unless the Base Gas Sales Contract is executed by both parties.</w:t>
      </w:r>
    </w:p>
    <w:p>
      <w:pPr>
        <w:pStyle w:val="Normal"/>
        <w:ind w:hanging="2160" w:start="2160" w:end="0"/>
        <w:jc w:val="both"/>
        <w:rPr/>
      </w:pPr>
      <w:r>
        <w:rPr/>
      </w:r>
    </w:p>
    <w:p>
      <w:pPr>
        <w:pStyle w:val="Normal"/>
        <w:ind w:hanging="2160" w:start="2160" w:end="0"/>
        <w:jc w:val="both"/>
        <w:rPr/>
      </w:pPr>
      <w:r>
        <w:rPr/>
      </w:r>
    </w:p>
    <w:p>
      <w:pPr>
        <w:pStyle w:val="Normal"/>
        <w:ind w:hanging="2160" w:start="2160" w:end="0"/>
        <w:jc w:val="both"/>
        <w:rPr/>
      </w:pPr>
      <w:r>
        <w:rPr/>
        <w:t xml:space="preserve">CREDIT APPROVAL:  </w:t>
        <w:tab/>
        <w:t>Buyer’s credit will be subject to Seller’s credit review prior to the completion of any transaction and Buyer agrees to provide any financial information or security required by such review.  If Buyer’s creditworthiness or financial responsibility become unsatisfactory at any time during the contract term, based solely on Seller’s judgment, Seller may require satisfactory security before further deliveries are made or, if such security is not provided, cancel the contract.</w:t>
      </w:r>
    </w:p>
    <w:p>
      <w:pPr>
        <w:pStyle w:val="Normal"/>
        <w:ind w:hanging="2160" w:start="2160" w:end="0"/>
        <w:jc w:val="both"/>
        <w:rPr/>
      </w:pPr>
      <w:r>
        <w:rPr/>
      </w:r>
    </w:p>
    <w:p>
      <w:pPr>
        <w:pStyle w:val="BodyText"/>
        <w:rPr/>
      </w:pPr>
      <w:r>
        <w:rPr>
          <w:sz w:val="20"/>
        </w:rPr>
        <w:t>TRANSPORTATION</w:t>
      </w:r>
      <w:r>
        <w:rPr/>
        <w:t xml:space="preserve">  </w:t>
        <w:tab/>
      </w:r>
      <w:r>
        <w:rPr>
          <w:sz w:val="20"/>
        </w:rPr>
        <w:t>Buyer shall be responsible for all mid-stream and mainline</w:t>
      </w:r>
      <w:r>
        <w:rPr/>
        <w:t xml:space="preserve"> </w:t>
      </w:r>
      <w:r>
        <w:rPr>
          <w:sz w:val="20"/>
        </w:rPr>
        <w:t>transportation COSTS:</w:t>
        <w:tab/>
        <w:tab/>
        <w:tab/>
        <w:t>costs downstream of the point of sale.</w:t>
      </w:r>
    </w:p>
    <w:p>
      <w:pPr>
        <w:pStyle w:val="Normal"/>
        <w:ind w:hanging="2160" w:start="2160" w:end="0"/>
        <w:jc w:val="both"/>
        <w:rPr>
          <w:sz w:val="20"/>
        </w:rPr>
      </w:pPr>
      <w:r>
        <w:rPr>
          <w:sz w:val="20"/>
        </w:rPr>
      </w:r>
    </w:p>
    <w:p>
      <w:pPr>
        <w:pStyle w:val="Normal"/>
        <w:ind w:start="2160" w:end="0"/>
        <w:jc w:val="both"/>
        <w:rPr/>
      </w:pPr>
      <w:r>
        <w:rPr/>
        <w:t>The gas being offered to the Buyer may at Buyer’s option be moved under certain gathering agreements that are currently held by BP. These agreements state the terms under which the gas is gathered from the wells, treated, and compressed for delivery to the mainline.  Even though Buyer will be taking delivery of gas at the wells connected to these systems, for gas moved pursuant to these gathering agreements Seller will pay the costs associated with these mid-stream services according to the terms of these agreements which may be in effect from time to time. Buyer may also elect to utilize midstream services provided by Seller.  Buyer will reimburse Seller for these midstream service costs based on the different heat contents of the gas and the different mid-stream costs and fuel for each Production Area. Currently, these costs are :</w:t>
      </w:r>
    </w:p>
    <w:p>
      <w:pPr>
        <w:pStyle w:val="Normal"/>
        <w:ind w:hanging="2160" w:start="2160" w:end="0"/>
        <w:jc w:val="both"/>
        <w:rPr/>
      </w:pPr>
      <w:r>
        <w:rPr/>
      </w:r>
    </w:p>
    <w:p>
      <w:pPr>
        <w:pStyle w:val="Normal"/>
        <w:ind w:hanging="2160" w:start="2160" w:end="0"/>
        <w:jc w:val="both"/>
        <w:rPr/>
      </w:pPr>
      <w:r>
        <w:rPr/>
        <w:tab/>
      </w:r>
      <w:r>
        <w:rPr>
          <w:u w:val="single"/>
        </w:rPr>
        <w:t>Production Area</w:t>
      </w:r>
      <w:r>
        <w:rPr/>
        <w:tab/>
        <w:tab/>
      </w:r>
      <w:r>
        <w:rPr>
          <w:u w:val="single"/>
        </w:rPr>
        <w:t>Heat Content</w:t>
      </w:r>
      <w:r>
        <w:rPr/>
        <w:tab/>
      </w:r>
      <w:r>
        <w:rPr>
          <w:u w:val="single"/>
        </w:rPr>
        <w:t>Mid-Stream Cost</w:t>
      </w:r>
      <w:r>
        <w:rPr/>
        <w:tab/>
        <w:tab/>
      </w:r>
      <w:r>
        <w:rPr>
          <w:u w:val="single"/>
        </w:rPr>
        <w:t xml:space="preserve">Fuel Rate </w:t>
      </w:r>
      <w:r>
        <w:rPr/>
        <w:t>PLA-9</w:t>
        <w:tab/>
        <w:tab/>
        <w:t>846 btu/mcf</w:t>
        <w:tab/>
        <w:t>$0.66/mmbtu</w:t>
        <w:tab/>
        <w:tab/>
        <w:t>7.65%</w:t>
      </w:r>
    </w:p>
    <w:p>
      <w:pPr>
        <w:pStyle w:val="Normal"/>
        <w:ind w:hanging="2160" w:start="2160" w:end="0"/>
        <w:jc w:val="both"/>
        <w:rPr/>
      </w:pPr>
      <w:r>
        <w:rPr/>
        <w:tab/>
        <w:t>Empanada</w:t>
        <w:tab/>
        <w:tab/>
        <w:t>902 btu/mcf</w:t>
        <w:tab/>
        <w:t>$0.61/mmbtu</w:t>
        <w:tab/>
        <w:tab/>
        <w:t>7.25%</w:t>
      </w:r>
    </w:p>
    <w:p>
      <w:pPr>
        <w:pStyle w:val="Normal"/>
        <w:ind w:firstLine="720" w:start="720" w:end="0"/>
        <w:rPr/>
      </w:pPr>
      <w:r>
        <w:rPr/>
        <w:tab/>
        <w:t>Area 6</w:t>
        <w:tab/>
        <w:tab/>
        <w:tab/>
        <w:t>949 btu/mcf</w:t>
        <w:tab/>
        <w:t>$0.58/mmbtu</w:t>
        <w:tab/>
        <w:tab/>
        <w:t>2.00%</w:t>
      </w:r>
    </w:p>
    <w:p>
      <w:pPr>
        <w:pStyle w:val="Normal"/>
        <w:rPr/>
      </w:pPr>
      <w:r>
        <w:rPr/>
      </w:r>
    </w:p>
    <w:p>
      <w:pPr>
        <w:pStyle w:val="Normal"/>
        <w:rPr/>
      </w:pPr>
      <w:r>
        <w:rPr/>
      </w:r>
    </w:p>
    <w:p>
      <w:pPr>
        <w:pStyle w:val="Normal"/>
        <w:rPr/>
      </w:pPr>
      <w:r>
        <w:rPr/>
      </w:r>
    </w:p>
    <w:p>
      <w:pPr>
        <w:pStyle w:val="Normal"/>
        <w:jc w:val="both"/>
        <w:rPr/>
      </w:pPr>
      <w:r>
        <w:rPr>
          <w:b/>
        </w:rPr>
        <w:t xml:space="preserve">THIS LETTER IS A STATEMENT OF INTENT ONLY, AND DOES NOT IMPOSE ANY LEGALLY BINDING OBLIGATIONS ON EITHER OF THE PARTIES HERETO AND IS </w:t>
      </w:r>
      <w:r>
        <w:rPr>
          <w:b/>
          <w:u w:val="single"/>
        </w:rPr>
        <w:t xml:space="preserve">NOT </w:t>
      </w:r>
      <w:r>
        <w:rPr>
          <w:b/>
        </w:rPr>
        <w:t>AN OFFER, THE ACCEPTANCE OF WHICH WOULD FORM A BINDING AGREEMENT.   THE PARTIES HERETO INTEND TO BE LEGALLY BOUND ONLY UPON NEGOTIATION AND EXECUTION OF AN AGREEMENT ACCEPTABLE IN FORM AND SUBSTANCE TO BOTH SIDES.  NEITHER PARTY SHALL BE ENTITLED TO RELY ON THIS LETTER BY INCURRING EXPENSES OR BY ENTERING INTO ADDITIONAL CONTRACT OBLIGATIONS IN ANTICIPATION OF FINAL AGREEMENT, AND ANY SUCH EXPENSES OR ADDITIONAL CONTRACT OBLIGATIONS INCURRED BY A PARTY SHALL BE AT THE SOLE RISK OF THE PARTY INCURRING THEM.</w:t>
      </w:r>
    </w:p>
    <w:p>
      <w:pPr>
        <w:pStyle w:val="Normal"/>
        <w:rPr/>
      </w:pPr>
      <w:r>
        <w:rPr/>
      </w:r>
    </w:p>
    <w:p>
      <w:pPr>
        <w:pStyle w:val="Normal"/>
        <w:rPr/>
      </w:pPr>
      <w:r>
        <w:rPr/>
      </w:r>
    </w:p>
    <w:p>
      <w:pPr>
        <w:pStyle w:val="Normal"/>
        <w:rPr/>
      </w:pPr>
      <w:r>
        <w:rPr/>
        <w:t>Proposals should be addressed to:</w:t>
      </w:r>
    </w:p>
    <w:p>
      <w:pPr>
        <w:pStyle w:val="Normal"/>
        <w:rPr/>
      </w:pPr>
      <w:r>
        <w:rPr/>
      </w:r>
    </w:p>
    <w:p>
      <w:pPr>
        <w:pStyle w:val="Normal"/>
        <w:rPr/>
      </w:pPr>
      <w:r>
        <w:rPr/>
        <w:t>BP Energy Company</w:t>
      </w:r>
    </w:p>
    <w:p>
      <w:pPr>
        <w:pStyle w:val="Normal"/>
        <w:rPr/>
      </w:pPr>
      <w:r>
        <w:rPr/>
        <w:t>P.O. Box 3092</w:t>
      </w:r>
    </w:p>
    <w:p>
      <w:pPr>
        <w:pStyle w:val="Normal"/>
        <w:rPr/>
      </w:pPr>
      <w:r>
        <w:rPr/>
        <w:t>Houston, TX 77253-3092</w:t>
      </w:r>
    </w:p>
    <w:p>
      <w:pPr>
        <w:pStyle w:val="Normal"/>
        <w:rPr/>
      </w:pPr>
      <w:r>
        <w:rPr/>
        <w:t>Attn:  Tim Miller, Asset Manager Western U.S.</w:t>
      </w:r>
    </w:p>
    <w:p>
      <w:pPr>
        <w:pStyle w:val="Normal"/>
        <w:rPr/>
      </w:pPr>
      <w:r>
        <w:rPr/>
        <w:t>Fax: (281) 366-4932</w:t>
      </w:r>
    </w:p>
    <w:p>
      <w:pPr>
        <w:pStyle w:val="Normal"/>
        <w:rPr/>
      </w:pPr>
      <w:r>
        <w:rPr/>
      </w:r>
    </w:p>
    <w:p>
      <w:pPr>
        <w:pStyle w:val="Normal"/>
        <w:jc w:val="both"/>
        <w:rPr/>
      </w:pPr>
      <w:r>
        <w:rPr/>
        <w:t xml:space="preserve">Please submit a separate form for each proposal.  Formal proposals may be mailed or faxed to BP Energy Company at any time prior to October 23, 2001  (12 P.M. Central Clock Time) and such proposals shall remain open and capable of a contractually binding acceptance until October 25, 2001 (3 P.M. Central </w:t>
      </w:r>
    </w:p>
    <w:p>
      <w:pPr>
        <w:pStyle w:val="Normal"/>
        <w:jc w:val="both"/>
        <w:rPr/>
      </w:pPr>
      <w:r>
        <w:rPr/>
      </w:r>
    </w:p>
    <w:p>
      <w:pPr>
        <w:pStyle w:val="Normal"/>
        <w:jc w:val="both"/>
        <w:rPr/>
      </w:pPr>
      <w:r>
        <w:rPr/>
      </w:r>
    </w:p>
    <w:p>
      <w:pPr>
        <w:pStyle w:val="Normal"/>
        <w:jc w:val="both"/>
        <w:rPr/>
      </w:pPr>
      <w:r>
        <w:rPr/>
      </w:r>
    </w:p>
    <w:p>
      <w:pPr>
        <w:pStyle w:val="Normal"/>
        <w:jc w:val="both"/>
        <w:rPr/>
      </w:pPr>
      <w:r>
        <w:rPr/>
        <w:t xml:space="preserve">Clock Time).  BP Energy Company realizes that fixed price and NYMEX basis quotes are indicative of current market conditions and may be subject to change.  If a fixed price or NYMEX basis is proposed, Buyer must keep bid open and capable of a contractually binding acceptance by BP Energy Company until </w:t>
      </w:r>
    </w:p>
    <w:p>
      <w:pPr>
        <w:pStyle w:val="Normal"/>
        <w:jc w:val="both"/>
        <w:rPr/>
      </w:pPr>
      <w:r>
        <w:rPr/>
        <w:t>3 P.M. Central Clock Time on the day the fixed price bid was submitted.  If you have any questions, please call Tim Miller at (281) 366-4965.</w:t>
      </w:r>
    </w:p>
    <w:p>
      <w:pPr>
        <w:pStyle w:val="Normal"/>
        <w:jc w:val="both"/>
        <w:rPr/>
      </w:pPr>
      <w:r>
        <w:rPr/>
      </w:r>
    </w:p>
    <w:p>
      <w:pPr>
        <w:pStyle w:val="Normal"/>
        <w:jc w:val="both"/>
        <w:rPr/>
      </w:pPr>
      <w:r>
        <w:rPr/>
      </w:r>
    </w:p>
    <w:p>
      <w:pPr>
        <w:pStyle w:val="Normal"/>
        <w:jc w:val="both"/>
        <w:rPr/>
      </w:pPr>
      <w:r>
        <w:rPr/>
        <w:t>Regards,</w:t>
      </w:r>
    </w:p>
    <w:p>
      <w:pPr>
        <w:pStyle w:val="Normal"/>
        <w:jc w:val="both"/>
        <w:rPr/>
      </w:pPr>
      <w:r>
        <w:rPr/>
      </w:r>
    </w:p>
    <w:p>
      <w:pPr>
        <w:pStyle w:val="Normal"/>
        <w:jc w:val="both"/>
        <w:rPr/>
      </w:pPr>
      <w:r>
        <w:rPr/>
      </w:r>
    </w:p>
    <w:p>
      <w:pPr>
        <w:pStyle w:val="Normal"/>
        <w:jc w:val="both"/>
        <w:rPr/>
      </w:pPr>
      <w:r>
        <w:rPr/>
      </w:r>
    </w:p>
    <w:p>
      <w:pPr>
        <w:pStyle w:val="Normal"/>
        <w:jc w:val="both"/>
        <w:rPr/>
      </w:pPr>
      <w:r>
        <w:rPr/>
        <w:t>Timothy R. Miller</w:t>
      </w:r>
      <w:r>
        <w:br w:type="page"/>
      </w:r>
    </w:p>
    <w:p>
      <w:pPr>
        <w:pStyle w:val="Normal"/>
        <w:rPr/>
      </w:pPr>
      <w:r>
        <w:rPr/>
      </w:r>
    </w:p>
    <w:p>
      <w:pPr>
        <w:pStyle w:val="Normal"/>
        <w:rPr/>
      </w:pPr>
      <w:r>
        <w:rPr/>
      </w:r>
    </w:p>
    <w:p>
      <w:pPr>
        <w:pStyle w:val="Normal"/>
        <w:jc w:val="center"/>
        <w:rPr>
          <w:b/>
          <w:sz w:val="28"/>
        </w:rPr>
      </w:pPr>
      <w:r>
        <w:rPr>
          <w:b/>
          <w:sz w:val="28"/>
        </w:rPr>
        <w:t>CONFIDENTIAL</w:t>
      </w:r>
    </w:p>
    <w:p>
      <w:pPr>
        <w:pStyle w:val="Heading2"/>
        <w:jc w:val="center"/>
        <w:rPr/>
      </w:pPr>
      <w:r>
        <w:rPr/>
        <w:t>Term Gas Sales-Bid Form</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b/>
          <w:sz w:val="24"/>
        </w:rPr>
        <w:t>Term:</w:t>
        <w:tab/>
        <w:tab/>
      </w:r>
      <w:r>
        <w:rPr>
          <w:bCs/>
          <w:sz w:val="24"/>
        </w:rPr>
        <w:t>November 1, 2001 through March 31, 2002</w:t>
      </w:r>
    </w:p>
    <w:p>
      <w:pPr>
        <w:pStyle w:val="Normal"/>
        <w:rPr>
          <w:sz w:val="24"/>
        </w:rPr>
      </w:pPr>
      <w:r>
        <w:rPr>
          <w:sz w:val="24"/>
        </w:rPr>
        <w:tab/>
        <w:tab/>
        <w:tab/>
        <w:tab/>
        <w:tab/>
        <w:tab/>
      </w:r>
    </w:p>
    <w:p>
      <w:pPr>
        <w:pStyle w:val="Normal"/>
        <w:rPr>
          <w:sz w:val="24"/>
        </w:rPr>
      </w:pPr>
      <w:r>
        <w:rPr>
          <w:sz w:val="24"/>
        </w:rPr>
        <w:tab/>
        <w:tab/>
        <w:tab/>
      </w:r>
    </w:p>
    <w:p>
      <w:pPr>
        <w:pStyle w:val="Normal"/>
        <w:rPr>
          <w:sz w:val="24"/>
        </w:rPr>
      </w:pPr>
      <w:r>
        <w:rPr>
          <w:sz w:val="24"/>
        </w:rPr>
      </w:r>
    </w:p>
    <w:p>
      <w:pPr>
        <w:pStyle w:val="Normal"/>
        <w:rPr/>
      </w:pPr>
      <w:r>
        <w:rPr>
          <w:b/>
          <w:sz w:val="24"/>
        </w:rPr>
        <w:t>Daily Contract Quantity:</w:t>
        <w:tab/>
      </w:r>
      <w:r>
        <w:rPr>
          <w:bCs/>
          <w:sz w:val="24"/>
        </w:rPr>
        <w:t>Full-entitled wellhead production</w:t>
      </w:r>
    </w:p>
    <w:p>
      <w:pPr>
        <w:pStyle w:val="Normal"/>
        <w:rPr>
          <w:b/>
          <w:bCs/>
          <w:sz w:val="24"/>
        </w:rPr>
      </w:pPr>
      <w:r>
        <w:rPr>
          <w:b/>
          <w:bCs/>
          <w:sz w:val="24"/>
        </w:rPr>
      </w:r>
    </w:p>
    <w:p>
      <w:pPr>
        <w:pStyle w:val="Normal"/>
        <w:rPr>
          <w:b/>
          <w:sz w:val="24"/>
        </w:rPr>
      </w:pPr>
      <w:r>
        <w:rPr>
          <w:b/>
          <w:sz w:val="24"/>
        </w:rPr>
      </w:r>
    </w:p>
    <w:p>
      <w:pPr>
        <w:pStyle w:val="Normal"/>
        <w:rPr>
          <w:b/>
          <w:sz w:val="24"/>
        </w:rPr>
      </w:pPr>
      <w:r>
        <w:rPr>
          <w:b/>
          <w:sz w:val="24"/>
        </w:rPr>
      </w:r>
    </w:p>
    <w:p>
      <w:pPr>
        <w:pStyle w:val="Normal"/>
        <w:rPr>
          <w:b/>
          <w:sz w:val="24"/>
        </w:rPr>
      </w:pPr>
      <w:r>
        <w:rPr>
          <w:b/>
          <w:sz w:val="24"/>
        </w:rPr>
        <w:t>Price (per Mcf):</w:t>
      </w:r>
    </w:p>
    <w:p>
      <w:pPr>
        <w:pStyle w:val="Normal"/>
        <w:rPr>
          <w:b/>
          <w:sz w:val="24"/>
        </w:rPr>
      </w:pPr>
      <w:r>
        <w:rPr>
          <w:b/>
          <w:sz w:val="24"/>
        </w:rPr>
      </w:r>
    </w:p>
    <w:p>
      <w:pPr>
        <w:pStyle w:val="Normal"/>
        <w:rPr>
          <w:b/>
          <w:sz w:val="24"/>
        </w:rPr>
      </w:pPr>
      <w:r>
        <w:rPr>
          <w:b/>
          <w:sz w:val="24"/>
        </w:rPr>
      </w:r>
    </w:p>
    <w:p>
      <w:pPr>
        <w:pStyle w:val="Normal"/>
        <w:rPr>
          <w:b/>
          <w:sz w:val="24"/>
        </w:rPr>
      </w:pPr>
      <w:r>
        <w:rPr>
          <w:b/>
          <w:sz w:val="24"/>
        </w:rPr>
        <w:t>Special Provisions (if any):</w:t>
      </w:r>
    </w:p>
    <w:p>
      <w:pPr>
        <w:pStyle w:val="Normal"/>
        <w:rPr>
          <w:b/>
          <w:sz w:val="24"/>
        </w:rPr>
      </w:pPr>
      <w:r>
        <w:rPr>
          <w:b/>
          <w:sz w:val="24"/>
        </w:rPr>
      </w:r>
    </w:p>
    <w:p>
      <w:pPr>
        <w:pStyle w:val="Normal"/>
        <w:rPr>
          <w:b/>
          <w:sz w:val="24"/>
        </w:rPr>
      </w:pPr>
      <w:r>
        <w:rPr>
          <w:b/>
          <w:sz w:val="24"/>
        </w:rPr>
      </w:r>
    </w:p>
    <w:p>
      <w:pPr>
        <w:pStyle w:val="Normal"/>
        <w:rPr>
          <w:b/>
          <w:sz w:val="24"/>
        </w:rPr>
      </w:pPr>
      <w:r>
        <w:rPr>
          <w:b/>
          <w:sz w:val="24"/>
        </w:rPr>
        <w:t>Contact for confirming bid responses:</w:t>
      </w:r>
    </w:p>
    <w:p>
      <w:pPr>
        <w:pStyle w:val="Normal"/>
        <w:rPr>
          <w:b/>
          <w:sz w:val="24"/>
        </w:rPr>
      </w:pPr>
      <w:r>
        <w:rPr>
          <w:b/>
          <w:sz w:val="24"/>
        </w:rPr>
      </w:r>
    </w:p>
    <w:p>
      <w:pPr>
        <w:pStyle w:val="Normal"/>
        <w:rPr>
          <w:sz w:val="24"/>
        </w:rPr>
      </w:pPr>
      <w:r>
        <w:rPr>
          <w:sz w:val="24"/>
        </w:rPr>
        <w:t>Company Name:</w:t>
      </w:r>
    </w:p>
    <w:p>
      <w:pPr>
        <w:pStyle w:val="Normal"/>
        <w:rPr>
          <w:sz w:val="24"/>
        </w:rPr>
      </w:pPr>
      <w:r>
        <w:rPr>
          <w:sz w:val="24"/>
        </w:rPr>
        <w:t>Buyer’s Representative:</w:t>
      </w:r>
    </w:p>
    <w:p>
      <w:pPr>
        <w:pStyle w:val="Normal"/>
        <w:rPr>
          <w:sz w:val="24"/>
        </w:rPr>
      </w:pPr>
      <w:r>
        <w:rPr>
          <w:sz w:val="24"/>
        </w:rPr>
        <w:t>Company Address:</w:t>
      </w:r>
    </w:p>
    <w:p>
      <w:pPr>
        <w:pStyle w:val="Normal"/>
        <w:rPr>
          <w:sz w:val="24"/>
        </w:rPr>
      </w:pPr>
      <w:r>
        <w:rPr>
          <w:sz w:val="24"/>
        </w:rPr>
        <w:t>Phone Number:</w:t>
      </w:r>
    </w:p>
    <w:p>
      <w:pPr>
        <w:pStyle w:val="Normal"/>
        <w:rPr>
          <w:sz w:val="24"/>
        </w:rPr>
      </w:pPr>
      <w:r>
        <w:rPr>
          <w:sz w:val="24"/>
        </w:rPr>
        <w:t>Fax Number:</w:t>
      </w:r>
    </w:p>
    <w:p>
      <w:pPr>
        <w:pStyle w:val="Normal"/>
        <w:rPr>
          <w:sz w:val="24"/>
        </w:rPr>
      </w:pPr>
      <w:r>
        <w:rPr>
          <w:sz w:val="24"/>
        </w:rPr>
      </w:r>
    </w:p>
    <w:p>
      <w:pPr>
        <w:pStyle w:val="Normal"/>
        <w:rPr>
          <w:sz w:val="24"/>
        </w:rPr>
      </w:pPr>
      <w:r>
        <w:rPr>
          <w:sz w:val="24"/>
        </w:rPr>
        <w:t>This bid is firm and remains open until October 25, 2001  (3 P.M. Central Clock Time).</w:t>
      </w:r>
    </w:p>
    <w:p>
      <w:pPr>
        <w:pStyle w:val="Normal"/>
        <w:tabs>
          <w:tab w:val="clear" w:pos="720"/>
          <w:tab w:val="left" w:pos="-720" w:leader="none"/>
        </w:tabs>
        <w:suppressAutoHyphens w:val="true"/>
        <w:rPr>
          <w:rFonts w:ascii="Arial" w:hAnsi="Arial" w:cs="Arial"/>
          <w:b/>
          <w:spacing w:val="-2"/>
          <w:sz w:val="16"/>
        </w:rPr>
      </w:pPr>
      <w:r>
        <w:rPr>
          <w:rFonts w:cs="Arial" w:ascii="Arial" w:hAnsi="Arial"/>
          <w:b/>
          <w:spacing w:val="-2"/>
          <w:sz w:val="16"/>
        </w:rPr>
      </w:r>
    </w:p>
    <w:sectPr>
      <w:headerReference w:type="default" r:id="rId3"/>
      <w:headerReference w:type="first" r:id="rId4"/>
      <w:footerReference w:type="default" r:id="rId5"/>
      <w:footerReference w:type="first" r:id="rId6"/>
      <w:type w:val="nextPage"/>
      <w:pgSz w:w="12240" w:h="15840"/>
      <w:pgMar w:left="1800" w:right="1800" w:gutter="0" w:header="720" w:top="776"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rush Script MT">
    <w:charset w:val="00" w:characterSet="windows-1252"/>
    <w:family w:val="script"/>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8"/>
      </w:rPr>
    </w:pPr>
    <w:r>
      <w:rPr>
        <w:rFonts w:cs="Arial" w:ascii="Arial" w:hAnsi="Arial"/>
        <w:sz w:val="18"/>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8"/>
      </w:rPr>
    </w:pPr>
    <w:r>
      <w:rPr>
        <w:rFonts w:cs="Arial" w:ascii="Arial" w:hAnsi="Arial"/>
        <w:sz w:val="18"/>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BP Wellhead RFP</w:t>
    </w:r>
  </w:p>
  <w:p>
    <w:pPr>
      <w:pStyle w:val="Header"/>
      <w:rPr/>
    </w:pPr>
    <w:r>
      <w:rPr/>
      <w:fldChar w:fldCharType="begin"/>
    </w:r>
    <w:r>
      <w:rPr/>
      <w:instrText xml:space="preserve"> DATE \@"M\/d\/yyyy" </w:instrText>
    </w:r>
    <w:r>
      <w:rPr/>
      <w:fldChar w:fldCharType="separate"/>
    </w:r>
    <w:r>
      <w:rPr/>
      <w:t>9/28/2025</w:t>
    </w:r>
    <w:r>
      <w:rPr/>
      <w:fldChar w:fldCharType="end"/>
    </w:r>
  </w:p>
  <w:p>
    <w:pPr>
      <w:pStyle w:val="Header"/>
      <w:rPr/>
    </w:pPr>
    <w:r>
      <w:rPr/>
      <w:t xml:space="preserve">Page </w:t>
    </w:r>
    <w:r>
      <w:rPr/>
      <w:fldChar w:fldCharType="begin"/>
    </w:r>
    <w:r>
      <w:rPr/>
      <w:instrText xml:space="preserve"> PAGE </w:instrText>
    </w:r>
    <w:r>
      <w:rPr/>
      <w:fldChar w:fldCharType="separate"/>
    </w:r>
    <w:r>
      <w:rPr/>
      <w:t>4</w:t>
    </w:r>
    <w:r>
      <w:rPr/>
      <w:fldChar w:fldCharType="end"/>
    </w:r>
    <w:r>
      <w:rPr/>
      <w:t xml:space="preserve"> of </w:t>
    </w:r>
    <w:r>
      <w:rPr/>
      <w:fldChar w:fldCharType="begin"/>
    </w:r>
    <w:r>
      <w:rPr/>
      <w:instrText xml:space="preserve"> NUMPAGES \* ARABIC </w:instrText>
    </w:r>
    <w:r>
      <w:rPr/>
      <w:fldChar w:fldCharType="separate"/>
    </w:r>
    <w:r>
      <w:rPr/>
      <w:t>4</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720" w:leader="none"/>
      </w:tabs>
      <w:suppressAutoHyphens w:val="true"/>
      <w:outlineLvl w:val="0"/>
    </w:pPr>
    <w:rPr>
      <w:rFonts w:ascii="Arial" w:hAnsi="Arial" w:cs="Arial"/>
      <w:b/>
      <w:spacing w:val="-2"/>
      <w:sz w:val="24"/>
    </w:rPr>
  </w:style>
  <w:style w:type="paragraph" w:styleId="Heading2">
    <w:name w:val="heading 2"/>
    <w:basedOn w:val="Normal"/>
    <w:next w:val="Normal"/>
    <w:qFormat/>
    <w:pPr>
      <w:keepNext w:val="true"/>
      <w:numPr>
        <w:ilvl w:val="1"/>
        <w:numId w:val="1"/>
      </w:numPr>
      <w:ind w:hanging="2880" w:start="2880" w:end="0"/>
      <w:jc w:val="both"/>
      <w:outlineLvl w:val="1"/>
    </w:pPr>
    <w:rPr>
      <w:sz w:val="24"/>
      <w:u w:val="single"/>
    </w:rPr>
  </w:style>
  <w:style w:type="paragraph" w:styleId="Heading3">
    <w:name w:val="heading 3"/>
    <w:basedOn w:val="Normal"/>
    <w:next w:val="Normal"/>
    <w:qFormat/>
    <w:pPr>
      <w:keepNext w:val="true"/>
      <w:numPr>
        <w:ilvl w:val="2"/>
        <w:numId w:val="1"/>
      </w:numPr>
      <w:jc w:val="both"/>
      <w:outlineLvl w:val="2"/>
    </w:pPr>
    <w:rPr>
      <w:sz w:val="24"/>
      <w:u w:val="single"/>
    </w:rPr>
  </w:style>
  <w:style w:type="paragraph" w:styleId="Heading4">
    <w:name w:val="heading 4"/>
    <w:basedOn w:val="Normal"/>
    <w:next w:val="Normal"/>
    <w:qFormat/>
    <w:pPr>
      <w:keepNext w:val="true"/>
      <w:numPr>
        <w:ilvl w:val="3"/>
        <w:numId w:val="1"/>
      </w:numPr>
      <w:outlineLvl w:val="3"/>
    </w:pPr>
    <w:rPr>
      <w:sz w:val="24"/>
      <w:u w:val="single"/>
    </w:rPr>
  </w:style>
  <w:style w:type="paragraph" w:styleId="Heading5">
    <w:name w:val="heading 5"/>
    <w:basedOn w:val="Normal"/>
    <w:next w:val="Normal"/>
    <w:qFormat/>
    <w:pPr>
      <w:keepNext w:val="true"/>
      <w:numPr>
        <w:ilvl w:val="4"/>
        <w:numId w:val="1"/>
      </w:numPr>
      <w:ind w:hanging="3600" w:start="3600" w:end="0"/>
      <w:jc w:val="both"/>
      <w:outlineLvl w:val="4"/>
    </w:pPr>
    <w:rPr>
      <w:sz w:val="24"/>
      <w:u w:val="single"/>
    </w:rPr>
  </w:style>
  <w:style w:type="paragraph" w:styleId="Heading6">
    <w:name w:val="heading 6"/>
    <w:basedOn w:val="Normal"/>
    <w:next w:val="Normal"/>
    <w:qFormat/>
    <w:pPr>
      <w:keepNext w:val="true"/>
      <w:numPr>
        <w:ilvl w:val="5"/>
        <w:numId w:val="1"/>
      </w:numPr>
      <w:jc w:val="center"/>
      <w:outlineLvl w:val="5"/>
    </w:pPr>
    <w:rPr>
      <w:sz w:val="24"/>
    </w:rPr>
  </w:style>
  <w:style w:type="paragraph" w:styleId="Heading7">
    <w:name w:val="heading 7"/>
    <w:basedOn w:val="Normal"/>
    <w:next w:val="Normal"/>
    <w:qFormat/>
    <w:pPr>
      <w:keepNext w:val="true"/>
      <w:numPr>
        <w:ilvl w:val="6"/>
        <w:numId w:val="1"/>
      </w:numPr>
      <w:outlineLvl w:val="6"/>
    </w:pPr>
    <w:rPr>
      <w:b/>
      <w:bCs/>
    </w:rPr>
  </w:style>
  <w:style w:type="character" w:styleId="WW8Num1z0">
    <w:name w:val="WW8Num1z0"/>
    <w:qFormat/>
    <w:rPr/>
  </w:style>
  <w:style w:type="character" w:styleId="WW8Num2z0">
    <w:name w:val="WW8Num2z0"/>
    <w:qFormat/>
    <w:rPr/>
  </w:style>
  <w:style w:type="character" w:styleId="WW8Num3z0">
    <w:name w:val="WW8Num3z0"/>
    <w:qFormat/>
    <w:rPr>
      <w:rFonts w:ascii="Times New Roman" w:hAnsi="Times New Roman" w:cs="Times New Roman"/>
      <w:b w:val="false"/>
      <w:i w:val="false"/>
      <w:sz w:val="24"/>
      <w:u w:val="none"/>
    </w:rPr>
  </w:style>
  <w:style w:type="character" w:styleId="WW8Num4z0">
    <w:name w:val="WW8Num4z0"/>
    <w:qFormat/>
    <w:rPr/>
  </w:style>
  <w:style w:type="character" w:styleId="WW8NumSt2z0">
    <w:name w:val="WW8NumSt2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overflowPunct w:val="true"/>
      <w:autoSpaceDE w:val="true"/>
      <w:jc w:val="both"/>
      <w:textAlignment w:val="auto"/>
    </w:pPr>
    <w:rPr>
      <w:color w:val="000000"/>
      <w:sz w:val="24"/>
      <w:szCs w:val="1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6480" w:start="0" w:end="0"/>
      <w:jc w:val="both"/>
    </w:pPr>
    <w:rPr>
      <w:rFonts w:ascii="Arial" w:hAnsi="Arial" w:cs="Arial"/>
      <w:sz w:val="16"/>
    </w:rPr>
  </w:style>
  <w:style w:type="paragraph" w:styleId="BodyTextIndent2">
    <w:name w:val="Body Text Indent 2"/>
    <w:basedOn w:val="Normal"/>
    <w:qFormat/>
    <w:pPr>
      <w:ind w:hanging="3600" w:start="3600" w:end="0"/>
      <w:jc w:val="both"/>
    </w:pPr>
    <w:rPr>
      <w:sz w:val="22"/>
    </w:rPr>
  </w:style>
  <w:style w:type="paragraph" w:styleId="BodyText2">
    <w:name w:val="Body Text 2"/>
    <w:basedOn w:val="Normal"/>
    <w:qFormat/>
    <w:pPr>
      <w:jc w:val="both"/>
    </w:pPr>
    <w:rPr>
      <w:sz w:val="24"/>
    </w:rPr>
  </w:style>
  <w:style w:type="paragraph" w:styleId="BodyTextIndent3">
    <w:name w:val="Body Text Indent 3"/>
    <w:basedOn w:val="Normal"/>
    <w:qFormat/>
    <w:pPr>
      <w:ind w:hanging="2160" w:start="2160" w:end="0"/>
      <w:jc w:val="both"/>
    </w:pPr>
    <w:rPr>
      <w:sz w:val="24"/>
    </w:rPr>
  </w:style>
  <w:style w:type="paragraph" w:styleId="BodyText3">
    <w:name w:val="Body Text 3"/>
    <w:basedOn w:val="Normal"/>
    <w:qFormat/>
    <w:pPr/>
    <w:rPr>
      <w:sz w:val="24"/>
    </w:rPr>
  </w:style>
  <w:style w:type="paragraph" w:styleId="BlockText">
    <w:name w:val="Block Text"/>
    <w:basedOn w:val="Normal"/>
    <w:qFormat/>
    <w:pPr>
      <w:ind w:hanging="1440" w:start="1440" w:end="72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2001-10-10T17:03:00Z</dcterms:created>
  <dc:creator>Tim Miller</dc:creator>
  <dc:description/>
  <dc:language>en-CA</dc:language>
  <cp:lastModifiedBy>Digital Business Client User</cp:lastModifiedBy>
  <cp:lastPrinted>2001-10-10T14:02:00Z</cp:lastPrinted>
  <dcterms:modified xsi:type="dcterms:W3CDTF">2001-10-19T15:58:00Z</dcterms:modified>
  <cp:revision>15</cp:revision>
  <dc:subject/>
  <dc:title>	Amoco Production Company</dc:title>
</cp:coreProperties>
</file>