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NORTH AMERICAN MASTER NETTING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This NORTH AMERICAN MASTER NETTING AGREEMENT (this “</w:t>
      </w:r>
      <w:r>
        <w:rPr>
          <w:b/>
          <w:bCs/>
          <w:i/>
          <w:iCs/>
          <w:sz w:val="20"/>
        </w:rPr>
        <w:t>NA Master Agreement</w:t>
      </w:r>
      <w:r>
        <w:rPr>
          <w:sz w:val="20"/>
        </w:rPr>
        <w:t>”) is entered into and dated as of the 26</w:t>
      </w:r>
      <w:r>
        <w:rPr>
          <w:sz w:val="20"/>
          <w:vertAlign w:val="superscript"/>
        </w:rPr>
        <w:t>th</w:t>
      </w:r>
      <w:r>
        <w:rPr>
          <w:sz w:val="20"/>
        </w:rPr>
        <w:t xml:space="preserve"> day of October, 2001 (the “</w:t>
      </w:r>
      <w:r>
        <w:rPr>
          <w:b/>
          <w:bCs/>
          <w:i/>
          <w:iCs/>
          <w:sz w:val="20"/>
        </w:rPr>
        <w:t>Effective Date</w:t>
      </w:r>
      <w:r>
        <w:rPr>
          <w:sz w:val="20"/>
        </w:rPr>
        <w:t>”)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BP Chemicals Inc., Atlantic Richfield Company, and Amoco Production Company (each individually referred to herein as a “</w:t>
      </w:r>
      <w:r>
        <w:rPr>
          <w:b/>
          <w:bCs/>
          <w:i/>
          <w:iCs/>
          <w:sz w:val="20"/>
        </w:rPr>
        <w:t>BP Party</w:t>
      </w:r>
      <w:r>
        <w:rPr>
          <w:sz w:val="20"/>
        </w:rPr>
        <w:t>” and collectively referred to herein as “</w:t>
      </w:r>
      <w:r>
        <w:rPr>
          <w:b/>
          <w:bCs/>
          <w:i/>
          <w:iCs/>
          <w:sz w:val="20"/>
        </w:rPr>
        <w:t>BP Group</w:t>
      </w:r>
      <w:r>
        <w:rPr>
          <w:sz w:val="20"/>
        </w:rPr>
        <w:t>”) and Enron North America Corp., Enron Power Marketing Inc., Enron Canada Corp., Enron Energy Services, Inc., Enron Reserve Acquisition Corp., Enron Petrochemicals Company (a division of Enron Liquid Fuels, Inc.), ENA Upstream Company, LLC, LOA, Inc., Enron Gas Liquids Inc., and Enron Liquid Fuels, Inc. (each individually referred to herein as an “</w:t>
      </w:r>
      <w:r>
        <w:rPr>
          <w:b/>
          <w:bCs/>
          <w:i/>
          <w:iCs/>
          <w:sz w:val="20"/>
        </w:rPr>
        <w:t>Enron Party</w:t>
      </w:r>
      <w:r>
        <w:rPr>
          <w:sz w:val="20"/>
        </w:rPr>
        <w:t>” and collectively referred to herein as “</w:t>
      </w:r>
      <w:r>
        <w:rPr>
          <w:b/>
          <w:bCs/>
          <w:i/>
          <w:iCs/>
          <w:sz w:val="20"/>
        </w:rPr>
        <w:t>Enron Group</w:t>
      </w:r>
      <w:r>
        <w:rPr>
          <w:sz w:val="20"/>
        </w:rPr>
        <w:t>”) (each of the BP Parties and each of the Enron Parties are respectively referred to herein as a “</w:t>
      </w:r>
      <w:r>
        <w:rPr>
          <w:b/>
          <w:bCs/>
          <w:i/>
          <w:iCs/>
          <w:sz w:val="20"/>
        </w:rPr>
        <w:t>party</w:t>
      </w:r>
      <w:r>
        <w:rPr>
          <w:sz w:val="20"/>
        </w:rPr>
        <w:t>” and collectively as “</w:t>
      </w:r>
      <w:r>
        <w:rPr>
          <w:b/>
          <w:bCs/>
          <w:i/>
          <w:iCs/>
          <w:sz w:val="20"/>
        </w:rPr>
        <w:t>parties</w:t>
      </w:r>
      <w:r>
        <w:rPr>
          <w:sz w:val="20"/>
        </w:rPr>
        <w:t xml:space="preserve">”).  </w:t>
      </w:r>
    </w:p>
    <w:p>
      <w:pPr>
        <w:pStyle w:val="Normal"/>
        <w:jc w:val="both"/>
        <w:rPr>
          <w:sz w:val="20"/>
        </w:rPr>
      </w:pPr>
      <w:r>
        <w:rPr>
          <w:sz w:val="20"/>
        </w:rPr>
      </w:r>
    </w:p>
    <w:p>
      <w:pPr>
        <w:pStyle w:val="Normal"/>
        <w:jc w:val="both"/>
        <w:rPr/>
      </w:pPr>
      <w:r>
        <w:rPr>
          <w:sz w:val="20"/>
        </w:rPr>
        <w:t>BP Parties and Enron Parties have entered and/or anticipate entering into one or more master agreements and/or trading agreements in the nature of “forward contracts” and “swap agreements” as defined in the Code (each an “</w:t>
      </w:r>
      <w:r>
        <w:rPr>
          <w:b/>
          <w:bCs/>
          <w:i/>
          <w:iCs/>
          <w:sz w:val="20"/>
        </w:rPr>
        <w:t>Underlying Master Agreement</w:t>
      </w:r>
      <w:r>
        <w:rPr>
          <w:sz w:val="20"/>
        </w:rPr>
        <w:t>”) for the purchase, sale, and/or exchange of physical commodities (including, without limitation, natural gas, crude oil, fuel oil, gasoline, petroleum-related products,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bCs/>
          <w:i/>
          <w:iCs/>
          <w:sz w:val="20"/>
        </w:rPr>
        <w:t>Transaction</w:t>
      </w:r>
      <w:r>
        <w:rPr>
          <w:sz w:val="20"/>
        </w:rPr>
        <w:t>”) that are or will be governed by this NA Master Agreement and the documents and other confirming evidence (each a “</w:t>
      </w:r>
      <w:r>
        <w:rPr>
          <w:b/>
          <w:bCs/>
          <w:i/>
          <w:iCs/>
          <w:sz w:val="20"/>
        </w:rPr>
        <w:t>Confirmation</w:t>
      </w:r>
      <w:r>
        <w:rPr>
          <w:sz w:val="20"/>
        </w:rPr>
        <w:t>”) exchanged between the parties confirming those Transactions.</w:t>
      </w:r>
    </w:p>
    <w:p>
      <w:pPr>
        <w:pStyle w:val="Normal"/>
        <w:jc w:val="both"/>
        <w:rPr>
          <w:sz w:val="20"/>
        </w:rPr>
      </w:pPr>
      <w:r>
        <w:rPr>
          <w:sz w:val="20"/>
        </w:rPr>
      </w:r>
    </w:p>
    <w:p>
      <w:pPr>
        <w:pStyle w:val="BodyText2"/>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jc w:val="both"/>
        <w:rPr>
          <w:sz w:val="20"/>
        </w:rPr>
      </w:pPr>
      <w:r>
        <w:rPr>
          <w:sz w:val="20"/>
        </w:rPr>
      </w:r>
    </w:p>
    <w:p>
      <w:pPr>
        <w:pStyle w:val="Heading1"/>
        <w:numPr>
          <w:ilvl w:val="0"/>
          <w:numId w:val="0"/>
        </w:numPr>
        <w:ind w:hanging="0" w:start="0"/>
        <w:rPr>
          <w:sz w:val="20"/>
        </w:rPr>
      </w:pPr>
      <w:r>
        <w:rPr>
          <w:sz w:val="20"/>
        </w:rPr>
        <w:t>1.</w:t>
        <w:tab/>
        <w:t>Interpretation</w:t>
      </w:r>
    </w:p>
    <w:p>
      <w:pPr>
        <w:pStyle w:val="BodyText"/>
        <w:rPr>
          <w:b/>
          <w:sz w:val="20"/>
        </w:rPr>
      </w:pPr>
      <w:r>
        <w:rPr>
          <w:b/>
          <w:sz w:val="20"/>
        </w:rPr>
      </w:r>
    </w:p>
    <w:p>
      <w:pPr>
        <w:pStyle w:val="BodyText"/>
        <w:ind w:hanging="720" w:start="1440" w:end="0"/>
        <w:rPr/>
      </w:pPr>
      <w:r>
        <w:rPr>
          <w:bCs/>
          <w:sz w:val="20"/>
        </w:rPr>
        <w:t>(a)</w:t>
        <w:tab/>
      </w:r>
      <w:r>
        <w:rPr>
          <w:i/>
          <w:sz w:val="20"/>
        </w:rPr>
        <w:t>Definitions</w:t>
      </w:r>
      <w:r>
        <w:rPr>
          <w:sz w:val="20"/>
        </w:rPr>
        <w:t>.  The terms defined in Section 13 will have the meanings specified therein for the purpose of this NA Master Agreement.</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bCs/>
          <w:i/>
          <w:iCs/>
          <w:sz w:val="20"/>
        </w:rPr>
        <w:t>Agreement</w:t>
      </w:r>
      <w:r>
        <w:rPr>
          <w:sz w:val="20"/>
        </w:rPr>
        <w:t>”).  Unless and until this NA Master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together with this NA Master Agreement,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(c)</w:t>
        <w:tab/>
      </w:r>
      <w:r>
        <w:rPr>
          <w:i/>
          <w:sz w:val="20"/>
        </w:rPr>
        <w:t>Inconsistency</w:t>
      </w:r>
      <w:r>
        <w:rPr>
          <w:sz w:val="20"/>
        </w:rPr>
        <w:t xml:space="preserve">.  In the event of any conflict or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ind w:hanging="0" w:start="0"/>
        <w:rPr/>
      </w:pPr>
      <w:r>
        <w:rPr>
          <w:bCs/>
          <w:kern w:val="0"/>
          <w:sz w:val="20"/>
        </w:rPr>
        <w:t>2.</w:t>
        <w:tab/>
      </w:r>
      <w:r>
        <w:rPr>
          <w:sz w:val="20"/>
        </w:rPr>
        <w:t>Term of this NA Master Agreement</w:t>
      </w:r>
    </w:p>
    <w:p>
      <w:pPr>
        <w:pStyle w:val="BodyTextIndent"/>
        <w:ind w:start="0" w:end="0"/>
        <w:rPr>
          <w:sz w:val="20"/>
        </w:rPr>
      </w:pPr>
      <w:r>
        <w:rPr>
          <w:sz w:val="20"/>
        </w:rPr>
      </w:r>
    </w:p>
    <w:p>
      <w:pPr>
        <w:pStyle w:val="BodyTextIndent"/>
        <w:rPr>
          <w:sz w:val="20"/>
        </w:rPr>
      </w:pPr>
      <w:r>
        <w:rPr>
          <w:sz w:val="20"/>
        </w:rPr>
        <w:t>This NA Master Agreement shall be effective as of the Effective Date and continue in effect until terminated by agreement of the parties; provided, notwithstanding the foregoing, any party shall have the right to terminate this NA Master Agreement by notice to the Other Party upon such time as there are fewer than two Underlying Master Agreements in effect.</w:t>
      </w:r>
    </w:p>
    <w:p>
      <w:pPr>
        <w:pStyle w:val="BodyTextIndent"/>
        <w:ind w:start="0" w:end="0"/>
        <w:rPr>
          <w:sz w:val="20"/>
        </w:rPr>
      </w:pPr>
      <w:r>
        <w:rPr>
          <w:sz w:val="20"/>
        </w:rPr>
      </w:r>
    </w:p>
    <w:p>
      <w:pPr>
        <w:pStyle w:val="BodyTextIndent"/>
        <w:ind w:start="0" w:end="0"/>
        <w:rPr>
          <w:b/>
          <w:bCs/>
          <w:sz w:val="20"/>
        </w:rPr>
      </w:pPr>
      <w:r>
        <w:rPr>
          <w:b/>
          <w:bCs/>
          <w:sz w:val="20"/>
        </w:rPr>
        <w:t>3.</w:t>
        <w:tab/>
        <w:t>Representations.</w:t>
      </w:r>
    </w:p>
    <w:p>
      <w:pPr>
        <w:pStyle w:val="BodyTextIndent"/>
        <w:ind w:start="0" w:end="0"/>
        <w:rPr>
          <w:b/>
          <w:bCs/>
          <w:sz w:val="20"/>
        </w:rPr>
      </w:pPr>
      <w:r>
        <w:rPr>
          <w:b/>
          <w:bCs/>
          <w:sz w:val="20"/>
        </w:rPr>
      </w:r>
    </w:p>
    <w:p>
      <w:pPr>
        <w:pStyle w:val="Normal"/>
        <w:numPr>
          <w:ilvl w:val="0"/>
          <w:numId w:val="0"/>
        </w:numPr>
        <w:ind w:start="720" w:end="0"/>
        <w:jc w:val="both"/>
        <w:outlineLvl w:val="0"/>
        <w:rPr>
          <w:sz w:val="20"/>
        </w:rPr>
      </w:pPr>
      <w:r>
        <w:rPr>
          <w:sz w:val="20"/>
        </w:rPr>
        <w:t>Each BP Party represents to each Enron Party, and each Enron Party represents to each BP Party, that:</w:t>
      </w:r>
    </w:p>
    <w:p>
      <w:pPr>
        <w:pStyle w:val="Normal"/>
        <w:keepNext w:val="true"/>
        <w:numPr>
          <w:ilvl w:val="0"/>
          <w:numId w:val="0"/>
        </w:numPr>
        <w:jc w:val="both"/>
        <w:outlineLvl w:val="0"/>
        <w:rPr>
          <w:sz w:val="20"/>
        </w:rPr>
      </w:pPr>
      <w:r>
        <w:rPr>
          <w:sz w:val="20"/>
        </w:rPr>
      </w:r>
    </w:p>
    <w:p>
      <w:pPr>
        <w:pStyle w:val="Normal"/>
        <w:keepNext w:val="true"/>
        <w:numPr>
          <w:ilvl w:val="0"/>
          <w:numId w:val="0"/>
        </w:numPr>
        <w:ind w:firstLine="720" w:end="0"/>
        <w:jc w:val="both"/>
        <w:outlineLvl w:val="0"/>
        <w:rPr/>
      </w:pPr>
      <w:r>
        <w:rPr>
          <w:sz w:val="20"/>
        </w:rPr>
        <w:t>(a)</w:t>
        <w:tab/>
      </w:r>
      <w:r>
        <w:rPr>
          <w:i/>
          <w:sz w:val="20"/>
        </w:rPr>
        <w:t>Basic Representations</w:t>
      </w:r>
      <w:r>
        <w:rPr>
          <w:sz w:val="20"/>
        </w:rPr>
        <w:t>.</w:t>
      </w:r>
    </w:p>
    <w:p>
      <w:pPr>
        <w:pStyle w:val="Normal"/>
        <w:keepNext w:val="true"/>
        <w:numPr>
          <w:ilvl w:val="0"/>
          <w:numId w:val="0"/>
        </w:numPr>
        <w:jc w:val="both"/>
        <w:outlineLvl w:val="0"/>
        <w:rPr>
          <w:sz w:val="20"/>
        </w:rPr>
      </w:pPr>
      <w:r>
        <w:rPr>
          <w:sz w:val="20"/>
        </w:rPr>
      </w:r>
    </w:p>
    <w:p>
      <w:pPr>
        <w:pStyle w:val="Normal"/>
        <w:keepNext w:val="true"/>
        <w:numPr>
          <w:ilvl w:val="0"/>
          <w:numId w:val="0"/>
        </w:numPr>
        <w:ind w:hanging="720" w:start="2160" w:end="0"/>
        <w:jc w:val="both"/>
        <w:outlineLvl w:val="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Indent"/>
        <w:ind w:start="0" w:end="0"/>
        <w:rPr>
          <w:sz w:val="20"/>
        </w:rPr>
      </w:pPr>
      <w:r>
        <w:rPr>
          <w:sz w:val="20"/>
        </w:rPr>
      </w:r>
    </w:p>
    <w:p>
      <w:pPr>
        <w:pStyle w:val="BodyTextIndent"/>
        <w:ind w:hanging="720" w:start="2160" w:end="0"/>
        <w:rPr/>
      </w:pPr>
      <w:r>
        <w:rPr>
          <w:sz w:val="20"/>
        </w:rPr>
        <w:t>(ii)</w:t>
        <w:tab/>
      </w:r>
      <w:r>
        <w:rPr>
          <w:sz w:val="20"/>
          <w:u w:val="single"/>
        </w:rPr>
        <w:t>Powers</w:t>
      </w:r>
      <w:r>
        <w:rPr>
          <w:sz w:val="20"/>
        </w:rPr>
        <w:t>.  It (1) has the power to execute and deliver this NA Master Agreement and any other documentation relating to this NA Master Agreement to which it is a party, (2) has the power to deliver this NA Master Agreement and any other documentation relating to this NA Master Agreement that it is required by this NA Master Agreement to deliver, (3) has the power to perform its obligations under this NA Master Agreement, and has taken all necessary action to authorize such execution, delivery and performance;</w:t>
      </w:r>
    </w:p>
    <w:p>
      <w:pPr>
        <w:pStyle w:val="BodyTextIndent"/>
        <w:ind w:start="0" w:end="0"/>
        <w:rPr>
          <w:sz w:val="20"/>
        </w:rPr>
      </w:pPr>
      <w:r>
        <w:rPr>
          <w:sz w:val="20"/>
        </w:rPr>
      </w:r>
    </w:p>
    <w:p>
      <w:pPr>
        <w:pStyle w:val="BodyTextIndent"/>
        <w:ind w:hanging="720" w:start="2160" w:end="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Indent"/>
        <w:ind w:start="0" w:end="0"/>
        <w:rPr>
          <w:sz w:val="20"/>
        </w:rPr>
      </w:pPr>
      <w:r>
        <w:rPr>
          <w:sz w:val="20"/>
        </w:rPr>
      </w:r>
    </w:p>
    <w:p>
      <w:pPr>
        <w:pStyle w:val="BodyTextIndent"/>
        <w:ind w:hanging="720" w:start="2160" w:end="0"/>
        <w:rPr/>
      </w:pPr>
      <w:r>
        <w:rPr>
          <w:sz w:val="20"/>
        </w:rPr>
        <w:t>(iv)</w:t>
        <w:tab/>
      </w:r>
      <w:r>
        <w:rPr>
          <w:sz w:val="20"/>
          <w:u w:val="single"/>
        </w:rPr>
        <w:t>Consents</w:t>
      </w:r>
      <w:r>
        <w:rPr>
          <w:sz w:val="20"/>
        </w:rPr>
        <w:t>.  All governmental and other consents that are required to have been obtained by it with respect to this NA Master Agreement have been obtained and are in full force and effect and all conditions of any such consents have been fulfilled;</w:t>
      </w:r>
    </w:p>
    <w:p>
      <w:pPr>
        <w:pStyle w:val="BodyTextIndent"/>
        <w:ind w:start="0" w:end="0"/>
        <w:rPr>
          <w:sz w:val="20"/>
        </w:rPr>
      </w:pPr>
      <w:r>
        <w:rPr>
          <w:sz w:val="20"/>
        </w:rPr>
      </w:r>
    </w:p>
    <w:p>
      <w:pPr>
        <w:pStyle w:val="BodyTextIndent"/>
        <w:ind w:hanging="720" w:start="2160" w:end="0"/>
        <w:rPr/>
      </w:pPr>
      <w:r>
        <w:rPr>
          <w:sz w:val="20"/>
        </w:rPr>
        <w:t>(v)</w:t>
        <w:tab/>
      </w:r>
      <w:r>
        <w:rPr>
          <w:sz w:val="20"/>
          <w:u w:val="single"/>
        </w:rPr>
        <w:t>Obligations Binding</w:t>
      </w:r>
      <w:r>
        <w:rPr>
          <w:sz w:val="20"/>
        </w:rPr>
        <w:t>.  Its obligations under this NA Master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Indent"/>
        <w:ind w:hanging="720" w:start="2160" w:end="0"/>
        <w:rPr>
          <w:sz w:val="20"/>
        </w:rPr>
      </w:pPr>
      <w:r>
        <w:rPr>
          <w:sz w:val="20"/>
        </w:rPr>
      </w:r>
    </w:p>
    <w:p>
      <w:pPr>
        <w:pStyle w:val="BodyTextIndent"/>
        <w:ind w:hanging="720" w:start="2160" w:end="0"/>
        <w:rPr/>
      </w:pPr>
      <w:r>
        <w:rPr>
          <w:sz w:val="20"/>
        </w:rPr>
        <w:t>(vi)</w:t>
        <w:tab/>
      </w:r>
      <w:r>
        <w:rPr>
          <w:sz w:val="20"/>
          <w:u w:val="single"/>
        </w:rPr>
        <w:t>Master Netting Agreement</w:t>
      </w:r>
      <w:r>
        <w:rPr>
          <w:sz w:val="20"/>
        </w:rPr>
        <w:t>.  The parties intend that this NA Master Agreement constitutes and should be deemed to be a "master netting agreement" and/or a “master agreement in respect of a master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Indent"/>
        <w:ind w:start="0" w:end="0"/>
        <w:rPr>
          <w:sz w:val="20"/>
        </w:rPr>
      </w:pPr>
      <w:r>
        <w:rPr>
          <w:sz w:val="20"/>
        </w:rPr>
      </w:r>
    </w:p>
    <w:p>
      <w:pPr>
        <w:pStyle w:val="BodyTextIndent"/>
        <w:ind w:hanging="720" w:start="2160" w:end="0"/>
        <w:rPr/>
      </w:pPr>
      <w:r>
        <w:rPr>
          <w:sz w:val="20"/>
        </w:rPr>
        <w:t>(vii)</w:t>
        <w:tab/>
      </w:r>
      <w:r>
        <w:rPr>
          <w:sz w:val="20"/>
          <w:u w:val="single"/>
        </w:rPr>
        <w:t>Eligible Participant; Forward Contract; Swap Agreement; Qualified Financial Contract</w:t>
      </w:r>
      <w:r>
        <w:rPr>
          <w:sz w:val="20"/>
        </w:rPr>
        <w:t>.  (1) For each BP Party and Enron Party that entered into a “swap agreement” (a “</w:t>
      </w:r>
      <w:r>
        <w:rPr>
          <w:b/>
          <w:bCs/>
          <w:i/>
          <w:iCs/>
          <w:sz w:val="20"/>
        </w:rPr>
        <w:t>Swap Agreement Party</w:t>
      </w:r>
      <w:r>
        <w:rPr>
          <w:sz w:val="20"/>
        </w:rPr>
        <w:t>”) or “eligible financial contract” (an “</w:t>
      </w:r>
      <w:r>
        <w:rPr>
          <w:b/>
          <w:bCs/>
          <w:i/>
          <w:iCs/>
          <w:sz w:val="20"/>
        </w:rPr>
        <w:t>EFC Party</w:t>
      </w:r>
      <w:r>
        <w:rPr>
          <w:sz w:val="20"/>
        </w:rPr>
        <w:t>”) (as such terms are respectively defined in (2) immediately below) with each other, it (to the extent it is a Swap Agreement Party)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(to the extent it is an EFC Party) is a “Qualified Party” within the meaning of paragraph 9.1 of the Alberta Securities Commission’s Section 9.1 Order made effective as of June 1, 1999; and paragraph 1.1 of the British Columbia Securities Commission Blanket Order BOR#91-501, and (2) with respect to each BP Party or Enron Party that is organized under the laws of a state of the United States, each Underlying Master Agreement and each Transaction thereunder that it is a party to is either a “forward contract” within the meaning of the Code (11 U.S.C. Section 101(25) (2000)) and/or a “swap agreement” within the meaning of Section 301 of the Commodity Futures Modernization Act of 2000 (15 U.S.C.A. Section 78c note (West Supp. 2001)) and/or a “swap agreement” within the meaning of the Code (11 U.S.C. Section 101(53B) (2000)), and with respect to each BP Party or Enron Party that is organized under the laws of Canada or a province of Canada, each Underlying Master Agreement and each Transaction thereunder that it is a party to is an “eligible financial contract” as defined in both the Companies’ Creditors Arrangement Act, R.S.C. 1985, c. C-36, as amended, and the Bankruptcy and Insolvency Act, R.S.C. 1985, c. B-3.</w:t>
      </w:r>
    </w:p>
    <w:p>
      <w:pPr>
        <w:pStyle w:val="BodyTextIndent"/>
        <w:ind w:start="0" w:end="0"/>
        <w:rPr>
          <w:sz w:val="20"/>
        </w:rPr>
      </w:pPr>
      <w:r>
        <w:rPr>
          <w:sz w:val="20"/>
        </w:rPr>
      </w:r>
    </w:p>
    <w:p>
      <w:pPr>
        <w:pStyle w:val="BodyTextIndent"/>
        <w:ind w:hanging="720" w:start="1440" w:end="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Indent"/>
        <w:ind w:start="0" w:end="0"/>
        <w:rPr>
          <w:sz w:val="20"/>
        </w:rPr>
      </w:pPr>
      <w:r>
        <w:rPr>
          <w:sz w:val="20"/>
        </w:rPr>
      </w:r>
    </w:p>
    <w:p>
      <w:pPr>
        <w:pStyle w:val="BodyTextIndent"/>
        <w:ind w:hanging="720" w:start="1440" w:end="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Indent"/>
        <w:ind w:start="0" w:end="0"/>
        <w:rPr>
          <w:sz w:val="20"/>
        </w:rPr>
      </w:pPr>
      <w:r>
        <w:rPr>
          <w:sz w:val="20"/>
        </w:rPr>
      </w:r>
    </w:p>
    <w:p>
      <w:pPr>
        <w:pStyle w:val="BodyTextIndent"/>
        <w:ind w:start="0" w:end="0"/>
        <w:rPr>
          <w:b/>
          <w:bCs/>
          <w:sz w:val="20"/>
        </w:rPr>
      </w:pPr>
      <w:r>
        <w:rPr>
          <w:b/>
          <w:bCs/>
          <w:sz w:val="20"/>
        </w:rPr>
        <w:t>4.</w:t>
        <w:tab/>
        <w:t>Payment Obligations.</w:t>
      </w:r>
    </w:p>
    <w:p>
      <w:pPr>
        <w:pStyle w:val="BodyTextIndent"/>
        <w:ind w:start="0" w:end="0"/>
        <w:rPr>
          <w:b/>
          <w:bCs/>
          <w:sz w:val="20"/>
        </w:rPr>
      </w:pPr>
      <w:r>
        <w:rPr>
          <w:b/>
          <w:bCs/>
          <w:sz w:val="20"/>
        </w:rPr>
      </w:r>
    </w:p>
    <w:p>
      <w:pPr>
        <w:pStyle w:val="BodyTextIndent"/>
        <w:ind w:firstLine="720" w:start="0" w:end="0"/>
        <w:rPr>
          <w:sz w:val="20"/>
        </w:rPr>
      </w:pPr>
      <w:r>
        <w:rPr>
          <w:sz w:val="20"/>
        </w:rPr>
        <w:t>Each party shall make each payment or delivery as specified for such party in an Underlying Master Agreement in accordance with such Underlying Master Agreement, subject to the other provisions of this NA Master Agreement.</w:t>
      </w:r>
    </w:p>
    <w:p>
      <w:pPr>
        <w:pStyle w:val="Heading1"/>
        <w:numPr>
          <w:ilvl w:val="0"/>
          <w:numId w:val="0"/>
        </w:numPr>
        <w:ind w:hanging="0" w:start="0"/>
        <w:rPr/>
      </w:pPr>
      <w:r>
        <w:rPr>
          <w:bCs/>
          <w:kern w:val="0"/>
          <w:sz w:val="20"/>
        </w:rPr>
        <w:t>5.</w:t>
        <w:tab/>
      </w:r>
      <w:r>
        <w:rPr>
          <w:sz w:val="20"/>
        </w:rPr>
        <w:t>Definition of Events of Default</w:t>
      </w:r>
    </w:p>
    <w:p>
      <w:pPr>
        <w:pStyle w:val="BodyTextIndent"/>
        <w:ind w:start="0" w:end="0"/>
        <w:rPr>
          <w:sz w:val="20"/>
        </w:rPr>
      </w:pPr>
      <w:r>
        <w:rPr>
          <w:sz w:val="20"/>
        </w:rPr>
      </w:r>
    </w:p>
    <w:p>
      <w:pPr>
        <w:pStyle w:val="BodyTextIndent"/>
        <w:rPr/>
      </w:pPr>
      <w:r>
        <w:rPr>
          <w:sz w:val="20"/>
        </w:rPr>
        <w:t>The occurrence at any time with respect to any BP Party or any Enron Party, as applicable, of any of the following events constitutes an event of default (an “</w:t>
      </w:r>
      <w:r>
        <w:rPr>
          <w:b/>
          <w:bCs/>
          <w:i/>
          <w:iCs/>
          <w:sz w:val="20"/>
        </w:rPr>
        <w:t>Event of Default</w:t>
      </w:r>
      <w:r>
        <w:rPr>
          <w:sz w:val="20"/>
        </w:rPr>
        <w:t>”) with respect to the BP Group (if the Event of Default relates to a BP Party) or the Enron Group (if the Event of Default relates to an Enron Party), as applicable:</w:t>
      </w:r>
    </w:p>
    <w:p>
      <w:pPr>
        <w:pStyle w:val="BodyTextIndent"/>
        <w:ind w:start="0" w:end="0"/>
        <w:rPr>
          <w:sz w:val="20"/>
        </w:rPr>
      </w:pPr>
      <w:r>
        <w:rPr>
          <w:sz w:val="20"/>
        </w:rPr>
      </w:r>
    </w:p>
    <w:p>
      <w:pPr>
        <w:pStyle w:val="BodyTextIndent"/>
        <w:ind w:hanging="720" w:start="1440" w:end="0"/>
        <w:rPr/>
      </w:pPr>
      <w:r>
        <w:rPr>
          <w:sz w:val="20"/>
        </w:rPr>
        <w:t>(a)</w:t>
        <w:tab/>
      </w:r>
      <w:r>
        <w:rPr>
          <w:i/>
          <w:sz w:val="20"/>
        </w:rPr>
        <w:t>Misrepresentation</w:t>
      </w:r>
      <w:r>
        <w:rPr>
          <w:sz w:val="20"/>
        </w:rPr>
        <w:t>.  A representation by a BP Party or Enron Party, as applicable, in this NA Master Agreement is incorrect or misleading in any material respect when made;</w:t>
      </w:r>
    </w:p>
    <w:p>
      <w:pPr>
        <w:pStyle w:val="BodyTextIndent"/>
        <w:ind w:start="0" w:end="0"/>
        <w:rPr>
          <w:sz w:val="20"/>
        </w:rPr>
      </w:pPr>
      <w:r>
        <w:rPr>
          <w:sz w:val="20"/>
        </w:rPr>
      </w:r>
    </w:p>
    <w:p>
      <w:pPr>
        <w:pStyle w:val="BodyTextIndent"/>
        <w:ind w:hanging="720" w:start="1440" w:end="0"/>
        <w:rPr/>
      </w:pPr>
      <w:r>
        <w:rPr>
          <w:sz w:val="20"/>
        </w:rPr>
        <w:t>(b)</w:t>
        <w:tab/>
      </w:r>
      <w:r>
        <w:rPr>
          <w:i/>
          <w:sz w:val="20"/>
        </w:rPr>
        <w:t>Breach of Covenant</w:t>
      </w:r>
      <w:r>
        <w:rPr>
          <w:sz w:val="20"/>
        </w:rPr>
        <w:t>.  A BP Party or Enron Party, as applicable, fails to pay on the date due the Aggregate Termination Payment or breaches or fails to perform any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Indent"/>
        <w:ind w:start="0" w:end="0"/>
        <w:rPr>
          <w:sz w:val="20"/>
        </w:rPr>
      </w:pPr>
      <w:r>
        <w:rPr>
          <w:sz w:val="20"/>
        </w:rPr>
      </w:r>
    </w:p>
    <w:p>
      <w:pPr>
        <w:pStyle w:val="BodyTextIndent"/>
        <w:ind w:hanging="720" w:start="1440" w:end="0"/>
        <w:rPr/>
      </w:pPr>
      <w:r>
        <w:rPr>
          <w:sz w:val="20"/>
        </w:rPr>
        <w:t>(c)</w:t>
        <w:tab/>
      </w:r>
      <w:r>
        <w:rPr>
          <w:i/>
          <w:sz w:val="20"/>
        </w:rPr>
        <w:t>Bankruptcy</w:t>
      </w:r>
      <w:r>
        <w:rPr>
          <w:sz w:val="20"/>
        </w:rPr>
        <w:t>.  Enron Corp., BP America Inc., a BP Party, an Enron Party, or any guarantor of either a BP Party or Enron Party under an Underlying Master Agreement,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Indent"/>
        <w:rPr>
          <w:sz w:val="20"/>
        </w:rPr>
      </w:pPr>
      <w:r>
        <w:rPr>
          <w:sz w:val="20"/>
        </w:rPr>
      </w:r>
    </w:p>
    <w:p>
      <w:pPr>
        <w:pStyle w:val="Normal"/>
        <w:rPr>
          <w:b/>
          <w:sz w:val="20"/>
        </w:rPr>
      </w:pPr>
      <w:r>
        <w:rPr>
          <w:b/>
          <w:sz w:val="20"/>
        </w:rPr>
        <w:t>6.</w:t>
        <w:tab/>
        <w:t>Remedies upon an Event of Default.</w:t>
      </w:r>
    </w:p>
    <w:p>
      <w:pPr>
        <w:pStyle w:val="BodyTextIndent"/>
        <w:ind w:start="0" w:end="0"/>
        <w:rPr>
          <w:b/>
          <w:sz w:val="20"/>
        </w:rPr>
      </w:pPr>
      <w:r>
        <w:rPr>
          <w:b/>
          <w:sz w:val="20"/>
        </w:rPr>
      </w:r>
    </w:p>
    <w:p>
      <w:pPr>
        <w:pStyle w:val="BodyTextIndent"/>
        <w:ind w:hanging="720" w:start="1440" w:end="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bCs/>
          <w:i/>
          <w:iCs/>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 including, without limitation, the right to accelerate, terminate, liquidate, or otherwise close-out Transactions under such Underlying Master Agreement pursuant to an event of default, triggering event, or termination event under such Underlying Master Agreement that is not also an Event of Default pursuant to this NA Master Agreement.</w:t>
      </w:r>
    </w:p>
    <w:p>
      <w:pPr>
        <w:pStyle w:val="BodyTextIndent"/>
        <w:ind w:start="0" w:end="0"/>
        <w:rPr>
          <w:sz w:val="20"/>
        </w:rPr>
      </w:pPr>
      <w:r>
        <w:rPr>
          <w:sz w:val="20"/>
        </w:rPr>
      </w:r>
    </w:p>
    <w:p>
      <w:pPr>
        <w:pStyle w:val="BodyTextIndent"/>
        <w:ind w:hanging="720" w:start="1440" w:end="0"/>
        <w:rPr/>
      </w:pPr>
      <w:r>
        <w:rPr>
          <w:sz w:val="20"/>
        </w:rPr>
        <w:t>(b)</w:t>
        <w:tab/>
      </w:r>
      <w:r>
        <w:rPr>
          <w:i/>
          <w:sz w:val="20"/>
        </w:rPr>
        <w:t>Effect of Designation of an Early Termination Date</w:t>
      </w:r>
      <w:r>
        <w:rPr>
          <w:sz w:val="20"/>
        </w:rPr>
        <w:t>.  Upon designation of an Early Termination Date, all payment or delivery obligations of the Non-Defaulting Party under all Transactions shall be suspended, except as provided herein.  On the Early Termination Date, all Transactions shall be terminated.</w:t>
      </w:r>
    </w:p>
    <w:p>
      <w:pPr>
        <w:pStyle w:val="BodyTextIndent"/>
        <w:ind w:hanging="720" w:start="1440" w:end="0"/>
        <w:rPr>
          <w:sz w:val="20"/>
        </w:rPr>
      </w:pPr>
      <w:r>
        <w:rPr>
          <w:sz w:val="20"/>
        </w:rPr>
      </w:r>
    </w:p>
    <w:p>
      <w:pPr>
        <w:pStyle w:val="BodyTextIndent"/>
        <w:ind w:hanging="720" w:start="1440" w:end="0"/>
        <w:rPr>
          <w:sz w:val="20"/>
        </w:rPr>
      </w:pPr>
      <w:r>
        <w:rPr>
          <w:sz w:val="20"/>
        </w:rPr>
        <w:t>(c)</w:t>
        <w:tab/>
      </w:r>
      <w:r>
        <w:rPr>
          <w:i/>
          <w:iCs/>
          <w:sz w:val="20"/>
        </w:rPr>
        <w:t>Other Notice Provisions Superceded</w:t>
      </w:r>
      <w:r>
        <w:rPr>
          <w:sz w:val="20"/>
        </w:rPr>
        <w:t>.  Solely with respect to an Event of Default pursuant to this NA Master Agreement, any and all notification requirements under the Underlying Master Agreements for accelerating, terminating, liquidating, or otherwise closing-out Transactions thereunder that would also be triggered by an Event of Default pursuant to this NA Master Agreement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Indent"/>
        <w:ind w:start="0" w:end="0"/>
        <w:rPr>
          <w:sz w:val="20"/>
        </w:rPr>
      </w:pPr>
      <w:r>
        <w:rPr>
          <w:sz w:val="20"/>
        </w:rPr>
      </w:r>
    </w:p>
    <w:p>
      <w:pPr>
        <w:pStyle w:val="BodyTextIndent"/>
        <w:ind w:hanging="720" w:start="1440" w:end="0"/>
        <w:rPr/>
      </w:pPr>
      <w:r>
        <w:rPr>
          <w:sz w:val="20"/>
        </w:rPr>
        <w:t>(d)</w:t>
        <w:tab/>
      </w:r>
      <w:r>
        <w:rPr>
          <w:i/>
          <w:sz w:val="20"/>
        </w:rPr>
        <w:t>Calculation of Termination Payment</w:t>
      </w:r>
      <w:r>
        <w:rPr>
          <w:sz w:val="20"/>
        </w:rPr>
        <w:t>.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bCs/>
          <w:i/>
          <w:iCs/>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at its option and in its sole discretion, exercising the rights of set-off set forth in Section 7, and notify the Party Designate of the Defaulting Party in writing of the net amount owed or owing (the “</w:t>
      </w:r>
      <w:r>
        <w:rPr>
          <w:b/>
          <w:bCs/>
          <w:i/>
          <w:iCs/>
          <w:sz w:val="20"/>
        </w:rPr>
        <w:t>Aggregate</w:t>
      </w:r>
      <w:r>
        <w:rPr>
          <w:sz w:val="20"/>
        </w:rPr>
        <w:t xml:space="preserve"> </w:t>
      </w:r>
      <w:r>
        <w:rPr>
          <w:b/>
          <w:bCs/>
          <w:i/>
          <w:iCs/>
          <w:sz w:val="20"/>
        </w:rPr>
        <w:t>Termination Payment</w:t>
      </w:r>
      <w:r>
        <w:rPr>
          <w:sz w:val="20"/>
        </w:rPr>
        <w:t xml:space="preserve">”).  For greater certainty, the Aggregate Termination Payment shall be calculated by (x) adding together all of the Transaction Termination Amounts owed by a BP Party to an Enron Party, (y) separately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Indent"/>
        <w:ind w:hanging="720" w:start="1440" w:end="0"/>
        <w:rPr>
          <w:sz w:val="20"/>
        </w:rPr>
      </w:pPr>
      <w:r>
        <w:rPr>
          <w:sz w:val="20"/>
        </w:rPr>
      </w:r>
    </w:p>
    <w:p>
      <w:pPr>
        <w:pStyle w:val="BodyTextIndent"/>
        <w:ind w:hanging="720" w:start="1440" w:end="0"/>
        <w:rPr/>
      </w:pPr>
      <w:r>
        <w:rPr>
          <w:sz w:val="20"/>
        </w:rPr>
        <w:t>(e)</w:t>
        <w:tab/>
      </w:r>
      <w:r>
        <w:rPr>
          <w:i/>
          <w:iCs/>
          <w:sz w:val="20"/>
        </w:rPr>
        <w:t>Currency Conversion</w:t>
      </w:r>
      <w:r>
        <w:rPr>
          <w:sz w:val="20"/>
        </w:rPr>
        <w:t>.  The Party Designate of the Non-Defaulting Party shall convert any Transaction Termination Amounts in currencies other than United States Dollars into United States Dollars at the rate of exchange at which the Party Designate of the Non-Defaulting Party, acting in a reasonable manner and in good faith, would be able to purchase the relevant amount of the currency being converted.</w:t>
      </w:r>
    </w:p>
    <w:p>
      <w:pPr>
        <w:pStyle w:val="BodyTextIndent"/>
        <w:ind w:start="0" w:end="0"/>
        <w:rPr>
          <w:sz w:val="20"/>
        </w:rPr>
      </w:pPr>
      <w:r>
        <w:rPr>
          <w:sz w:val="20"/>
        </w:rPr>
      </w:r>
    </w:p>
    <w:p>
      <w:pPr>
        <w:pStyle w:val="BodyTextIndent"/>
        <w:ind w:hanging="720" w:start="1440" w:end="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Subject to Section 7(c), the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Indent"/>
        <w:ind w:start="0" w:end="0"/>
        <w:rPr>
          <w:sz w:val="20"/>
        </w:rPr>
      </w:pPr>
      <w:r>
        <w:rPr>
          <w:sz w:val="20"/>
        </w:rPr>
      </w:r>
    </w:p>
    <w:p>
      <w:pPr>
        <w:pStyle w:val="BodyTextIndent"/>
        <w:ind w:hanging="720" w:start="1440" w:end="0"/>
        <w:rPr>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Indent"/>
        <w:ind w:start="0" w:end="0"/>
        <w:rPr>
          <w:b/>
          <w:sz w:val="20"/>
        </w:rPr>
      </w:pPr>
      <w:r>
        <w:rPr>
          <w:b/>
          <w:sz w:val="20"/>
        </w:rPr>
      </w:r>
    </w:p>
    <w:p>
      <w:pPr>
        <w:pStyle w:val="BodyTextIndent"/>
        <w:ind w:hanging="720" w:start="1440" w:end="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Indent"/>
        <w:ind w:start="0" w:end="0"/>
        <w:rPr>
          <w:sz w:val="20"/>
        </w:rPr>
      </w:pPr>
      <w:r>
        <w:rPr>
          <w:sz w:val="20"/>
        </w:rPr>
      </w:r>
    </w:p>
    <w:p>
      <w:pPr>
        <w:pStyle w:val="Normal"/>
        <w:rPr>
          <w:b/>
          <w:bCs/>
          <w:sz w:val="20"/>
        </w:rPr>
      </w:pPr>
      <w:r>
        <w:rPr>
          <w:b/>
          <w:bCs/>
          <w:sz w:val="20"/>
        </w:rPr>
        <w:t>7.</w:t>
        <w:tab/>
        <w:t>Right of Set-off.</w:t>
      </w:r>
    </w:p>
    <w:p>
      <w:pPr>
        <w:pStyle w:val="BodyTextIndent"/>
        <w:ind w:start="0" w:end="0"/>
        <w:rPr>
          <w:b/>
          <w:bCs/>
          <w:sz w:val="20"/>
        </w:rPr>
      </w:pPr>
      <w:r>
        <w:rPr>
          <w:b/>
          <w:bCs/>
          <w:sz w:val="20"/>
        </w:rPr>
      </w:r>
    </w:p>
    <w:p>
      <w:pPr>
        <w:pStyle w:val="BodyTextIndent"/>
        <w:ind w:hanging="720" w:start="1440" w:end="0"/>
        <w:rPr/>
      </w:pPr>
      <w:r>
        <w:rPr>
          <w:sz w:val="20"/>
        </w:rPr>
        <w:t>(a)</w:t>
        <w:tab/>
      </w:r>
      <w:r>
        <w:rPr>
          <w:i/>
          <w:iCs/>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Indent"/>
        <w:ind w:firstLine="720" w:start="0" w:end="0"/>
        <w:rPr>
          <w:sz w:val="20"/>
        </w:rPr>
      </w:pPr>
      <w:r>
        <w:rPr>
          <w:sz w:val="20"/>
        </w:rPr>
      </w:r>
    </w:p>
    <w:p>
      <w:pPr>
        <w:pStyle w:val="BodyTextIndent"/>
        <w:ind w:hanging="720" w:start="2160" w:end="0"/>
        <w:rPr>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Indent"/>
        <w:ind w:firstLine="720" w:start="0" w:end="0"/>
        <w:rPr>
          <w:sz w:val="20"/>
        </w:rPr>
      </w:pPr>
      <w:r>
        <w:rPr>
          <w:sz w:val="20"/>
        </w:rPr>
      </w:r>
    </w:p>
    <w:p>
      <w:pPr>
        <w:pStyle w:val="BodyTextIndent"/>
        <w:ind w:hanging="720" w:start="2160" w:end="0"/>
        <w:rPr>
          <w:sz w:val="20"/>
        </w:rPr>
      </w:pPr>
      <w:r>
        <w:rPr>
          <w:sz w:val="20"/>
        </w:rPr>
        <w:t>(ii)</w:t>
        <w:tab/>
        <w:t>any other rights and remedies available to the Non-Defaulting Party (individually or collectively) under the terms of the Underlying Master Agreements to which it is a party or any collateral, if any;</w:t>
      </w:r>
    </w:p>
    <w:p>
      <w:pPr>
        <w:pStyle w:val="BodyTextIndent"/>
        <w:ind w:firstLine="720" w:start="0" w:end="0"/>
        <w:rPr>
          <w:sz w:val="20"/>
        </w:rPr>
      </w:pPr>
      <w:r>
        <w:rPr>
          <w:sz w:val="20"/>
        </w:rPr>
      </w:r>
    </w:p>
    <w:p>
      <w:pPr>
        <w:pStyle w:val="BodyTextIndent"/>
        <w:ind w:hanging="720" w:start="2160" w:end="0"/>
        <w:rPr>
          <w:sz w:val="20"/>
        </w:rPr>
      </w:pPr>
      <w:r>
        <w:rPr>
          <w:sz w:val="20"/>
        </w:rPr>
        <w:t>(iii)</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Defaulting Party (individually or collectively) under this Agreement or otherwise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Indent"/>
        <w:ind w:hanging="720" w:start="2160" w:end="0"/>
        <w:rPr>
          <w:sz w:val="20"/>
        </w:rPr>
      </w:pPr>
      <w:r>
        <w:rPr>
          <w:sz w:val="20"/>
        </w:rPr>
      </w:r>
    </w:p>
    <w:p>
      <w:pPr>
        <w:pStyle w:val="BodyTextIndent"/>
        <w:ind w:hanging="720" w:start="2160" w:end="0"/>
        <w:rPr>
          <w:sz w:val="20"/>
        </w:rPr>
      </w:pPr>
      <w:r>
        <w:rPr>
          <w:sz w:val="20"/>
        </w:rPr>
        <w:t>(iv)</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Non-Defaulting Party (individually or collectively) under this Agreement or otherwise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Indent"/>
        <w:ind w:firstLine="720" w:start="0" w:end="0"/>
        <w:rPr>
          <w:sz w:val="20"/>
        </w:rPr>
      </w:pPr>
      <w:r>
        <w:rPr>
          <w:sz w:val="20"/>
        </w:rPr>
      </w:r>
    </w:p>
    <w:p>
      <w:pPr>
        <w:pStyle w:val="BodyTextIndent"/>
        <w:ind w:hanging="720" w:start="2160" w:end="0"/>
        <w:rPr>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Indent"/>
        <w:ind w:firstLine="720" w:start="0" w:end="0"/>
        <w:rPr>
          <w:sz w:val="20"/>
        </w:rPr>
      </w:pPr>
      <w:r>
        <w:rPr>
          <w:sz w:val="20"/>
        </w:rPr>
      </w:r>
    </w:p>
    <w:p>
      <w:pPr>
        <w:pStyle w:val="BodyTextIndent"/>
        <w:ind w:hanging="720" w:start="1440" w:end="0"/>
        <w:rPr/>
      </w:pPr>
      <w:r>
        <w:rPr>
          <w:sz w:val="20"/>
        </w:rPr>
        <w:t>(b)</w:t>
        <w:tab/>
      </w:r>
      <w:r>
        <w:rPr>
          <w:i/>
          <w:iCs/>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Indent"/>
        <w:ind w:firstLine="720" w:start="0" w:end="0"/>
        <w:rPr>
          <w:sz w:val="20"/>
        </w:rPr>
      </w:pPr>
      <w:r>
        <w:rPr>
          <w:sz w:val="20"/>
        </w:rPr>
      </w:r>
    </w:p>
    <w:p>
      <w:pPr>
        <w:pStyle w:val="BodyTextIndent"/>
        <w:ind w:hanging="720" w:start="1440" w:end="0"/>
        <w:rPr/>
      </w:pPr>
      <w:r>
        <w:rPr>
          <w:sz w:val="20"/>
        </w:rPr>
        <w:t>(c)</w:t>
        <w:tab/>
      </w:r>
      <w:r>
        <w:rPr>
          <w:i/>
          <w:iCs/>
          <w:sz w:val="20"/>
        </w:rPr>
        <w:t>Condition Precedent</w:t>
      </w:r>
      <w:r>
        <w:rPr>
          <w:sz w:val="20"/>
        </w:rPr>
        <w:t>.  Notwithstanding any provision to the contrary contained in this NA Master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Indent"/>
        <w:ind w:start="0" w:end="0"/>
        <w:rPr>
          <w:sz w:val="20"/>
        </w:rPr>
      </w:pPr>
      <w:r>
        <w:rPr>
          <w:sz w:val="20"/>
        </w:rPr>
      </w:r>
    </w:p>
    <w:p>
      <w:pPr>
        <w:pStyle w:val="BodyTextIndent"/>
        <w:ind w:start="0" w:end="0"/>
        <w:rPr>
          <w:b/>
          <w:bCs/>
          <w:sz w:val="20"/>
        </w:rPr>
      </w:pPr>
      <w:r>
        <w:rPr>
          <w:b/>
          <w:bCs/>
          <w:sz w:val="20"/>
        </w:rPr>
        <w:t>8.</w:t>
        <w:tab/>
        <w:t>Security Interest.</w:t>
      </w:r>
    </w:p>
    <w:p>
      <w:pPr>
        <w:pStyle w:val="BodyTextIndent"/>
        <w:ind w:start="0" w:end="0"/>
        <w:rPr>
          <w:b/>
          <w:bCs/>
          <w:sz w:val="20"/>
        </w:rPr>
      </w:pPr>
      <w:r>
        <w:rPr>
          <w:b/>
          <w:bCs/>
          <w:sz w:val="20"/>
        </w:rPr>
      </w:r>
    </w:p>
    <w:p>
      <w:pPr>
        <w:pStyle w:val="BodyTextIndent2"/>
        <w:rPr/>
      </w:pPr>
      <w:r>
        <w:rPr/>
        <w:t>As security for the prompt and complete payment and performance of all obligations of the Enron Group under this NA Master Agreement and any Underlying Master Agreement and all Transactions that it is a party to (the “</w:t>
      </w:r>
      <w:r>
        <w:rPr>
          <w:b/>
          <w:bCs/>
          <w:i/>
          <w:iCs/>
        </w:rPr>
        <w:t>Enron Group Obligations</w:t>
      </w:r>
      <w:r>
        <w:rPr/>
        <w:t>”), each Enron Party hereby pledges, assigns, conveys, and transfers to each BP Party, and hereby grants to the BP Group a present and continuing first priority security interest in and to, and a general first lien upon and right of setoff against all right, title, and interest any Enron Party has in all obligations of the BP Group under this NA Master Agreement and any Underlying Master Agreement and all Transactions that it is a party to (the “</w:t>
      </w:r>
      <w:r>
        <w:rPr>
          <w:b/>
          <w:bCs/>
          <w:i/>
          <w:iCs/>
        </w:rPr>
        <w:t>BP Group Obligations</w:t>
      </w:r>
      <w:r>
        <w:rPr/>
        <w:t>”), together with all contract rights in respect of such BP Group Obligations, other than any Aggregate Termination Payment payable by BP Group to Enron Group.  As security for the prompt and complete payment and performance of all BP Group Obligations, each BP Party hereby pledges, assigns, conveys, and transfers to each Enron Party, and hereby grants to Enron Group a present and continuing first priority security interest in and to, and a general first lien upon and right of setoff against all right, title, and interest any BP Party has in all Enron Group Obligations, together with all contract rights in respect of such Enron Group Obligations, other than any Aggregate Termination Payment payable by Enron Group to BP Group.  Each party agrees to take such action as the Other Party reasonably requests in order to perfect the Other Party's (individually or collectively) continuing security interest in, lien on, and right of setoff against the security interests granted in this NA Master Agreement and grants authority to the Party Designate of the Other Party to file financing statements or take such other actions necessary to perfect the foregoing interests.</w:t>
      </w:r>
    </w:p>
    <w:p>
      <w:pPr>
        <w:pStyle w:val="BodyTextIndent"/>
        <w:ind w:start="0" w:end="0"/>
        <w:rPr>
          <w:sz w:val="20"/>
        </w:rPr>
      </w:pPr>
      <w:r>
        <w:rPr>
          <w:sz w:val="20"/>
        </w:rPr>
      </w:r>
    </w:p>
    <w:p>
      <w:pPr>
        <w:pStyle w:val="Normal"/>
        <w:rPr>
          <w:b/>
          <w:bCs/>
          <w:sz w:val="20"/>
        </w:rPr>
      </w:pPr>
      <w:r>
        <w:rPr>
          <w:b/>
          <w:bCs/>
          <w:sz w:val="20"/>
        </w:rPr>
        <w:t>9.</w:t>
        <w:tab/>
        <w:t>Transfer and Assignment.</w:t>
      </w:r>
    </w:p>
    <w:p>
      <w:pPr>
        <w:pStyle w:val="BodyTextIndent"/>
        <w:keepNext w:val="true"/>
        <w:rPr>
          <w:b/>
          <w:bCs/>
          <w:sz w:val="20"/>
        </w:rPr>
      </w:pPr>
      <w:r>
        <w:rPr>
          <w:b/>
          <w:bCs/>
          <w:sz w:val="20"/>
        </w:rPr>
      </w:r>
    </w:p>
    <w:p>
      <w:pPr>
        <w:pStyle w:val="OmniPage5"/>
        <w:ind w:hanging="718" w:start="1440" w:end="136"/>
        <w:jc w:val="both"/>
        <w:rPr>
          <w:bCs/>
        </w:rPr>
      </w:pPr>
      <w:r>
        <w:rPr>
          <w:bCs/>
        </w:rPr>
        <w:t xml:space="preserve">(a)  </w:t>
        <w:tab/>
        <w:t>Any assignment or other transfer of an Underlying Master Agreement and Transactions subject thereto by any Enron Party to an Affiliate of such Enron Party or by any BP Party to an Affiliate of such BP Party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is made expressly subject and subordinate to this Agreement.</w:t>
      </w:r>
    </w:p>
    <w:p>
      <w:pPr>
        <w:pStyle w:val="OmniPage5"/>
        <w:ind w:firstLine="722" w:start="88" w:end="136"/>
        <w:jc w:val="both"/>
        <w:rPr>
          <w:bCs/>
        </w:rPr>
      </w:pPr>
      <w:r>
        <w:rPr>
          <w:bCs/>
        </w:rPr>
      </w:r>
    </w:p>
    <w:p>
      <w:pPr>
        <w:pStyle w:val="OmniPage5"/>
        <w:ind w:hanging="718" w:start="1440" w:end="136"/>
        <w:jc w:val="both"/>
        <w:rPr>
          <w:bCs/>
        </w:rPr>
      </w:pPr>
      <w:r>
        <w:rPr>
          <w:bCs/>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is made expressly subject and subordinate to this Agreement. </w:t>
      </w:r>
    </w:p>
    <w:p>
      <w:pPr>
        <w:pStyle w:val="OmniPage5"/>
        <w:ind w:firstLine="722" w:start="88" w:end="136"/>
        <w:jc w:val="both"/>
        <w:rPr>
          <w:bCs/>
        </w:rPr>
      </w:pPr>
      <w:r>
        <w:rPr>
          <w:bCs/>
        </w:rPr>
      </w:r>
    </w:p>
    <w:p>
      <w:pPr>
        <w:pStyle w:val="OmniPage5"/>
        <w:ind w:hanging="718" w:start="1440" w:end="136"/>
        <w:jc w:val="both"/>
        <w:rPr>
          <w:bCs/>
        </w:rPr>
      </w:pPr>
      <w:r>
        <w:rPr>
          <w:bCs/>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Other Party,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rPr>
      </w:pPr>
      <w:r>
        <w:rPr>
          <w:bCs/>
        </w:rPr>
      </w:r>
    </w:p>
    <w:p>
      <w:pPr>
        <w:pStyle w:val="OmniPage5"/>
        <w:ind w:firstLine="722" w:end="136"/>
        <w:jc w:val="both"/>
        <w:rPr>
          <w:bCs/>
        </w:rPr>
      </w:pPr>
      <w:r>
        <w:rPr>
          <w:bCs/>
        </w:rPr>
        <w:t xml:space="preserve">(d)  </w:t>
        <w:tab/>
        <w:t>Any purported assignment or other transfer that is not in compliance herewith shall be void.</w:t>
      </w:r>
    </w:p>
    <w:p>
      <w:pPr>
        <w:pStyle w:val="Normal"/>
        <w:rPr>
          <w:bCs/>
          <w:sz w:val="20"/>
        </w:rPr>
      </w:pPr>
      <w:r>
        <w:rPr>
          <w:bCs/>
          <w:sz w:val="20"/>
        </w:rPr>
      </w:r>
    </w:p>
    <w:p>
      <w:pPr>
        <w:pStyle w:val="Normal"/>
        <w:rPr>
          <w:b/>
          <w:bCs/>
          <w:sz w:val="20"/>
        </w:rPr>
      </w:pPr>
      <w:r>
        <w:rPr>
          <w:b/>
          <w:bCs/>
          <w:sz w:val="20"/>
        </w:rPr>
        <w:t>10.</w:t>
        <w:tab/>
        <w:t>Notices.</w:t>
      </w:r>
    </w:p>
    <w:p>
      <w:pPr>
        <w:pStyle w:val="Normal"/>
        <w:rPr>
          <w:b/>
          <w:bCs/>
          <w:sz w:val="20"/>
        </w:rPr>
      </w:pPr>
      <w:r>
        <w:rPr>
          <w:b/>
          <w:bCs/>
          <w:sz w:val="20"/>
        </w:rPr>
      </w:r>
    </w:p>
    <w:p>
      <w:pPr>
        <w:pStyle w:val="OmniPage5"/>
        <w:ind w:firstLine="722" w:start="100" w:end="138"/>
        <w:jc w:val="both"/>
        <w:rPr/>
      </w:pPr>
      <w:r>
        <w:rPr/>
        <w:t xml:space="preserve">Any and all notices, statements, demands, or other communications under this NA Master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0"/>
          <w:szCs w:val="22"/>
        </w:rPr>
      </w:pPr>
      <w:r>
        <w:rPr>
          <w:sz w:val="20"/>
          <w:szCs w:val="22"/>
        </w:rPr>
        <w:t>Address for notices or communications to Enron Group:</w:t>
      </w:r>
    </w:p>
    <w:p>
      <w:pPr>
        <w:pStyle w:val="Normal"/>
        <w:keepNext w:val="true"/>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0"/>
                <w:szCs w:val="22"/>
              </w:rPr>
            </w:pPr>
            <w:r>
              <w:rPr>
                <w:sz w:val="20"/>
                <w:szCs w:val="22"/>
              </w:rPr>
              <w:t>Enron North America Corp.</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P.O. Box 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77210-4428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1400 Smith Street</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0"/>
              </w:rPr>
            </w:pPr>
            <w:r>
              <w:rPr>
                <w:rFonts w:cs="Times New Roman" w:ascii="Times New Roman" w:hAnsi="Times New Roman"/>
                <w:sz w:val="20"/>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0"/>
                <w:szCs w:val="22"/>
                <w:u w:val="single"/>
              </w:rPr>
            </w:pPr>
            <w:r>
              <w:rPr>
                <w:sz w:val="20"/>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0"/>
                <w:szCs w:val="22"/>
              </w:rPr>
            </w:pPr>
            <w:r>
              <w:rPr>
                <w:sz w:val="20"/>
                <w:szCs w:val="22"/>
              </w:rPr>
              <w:t>Telephone No.:  (713) 853-3300</w:t>
            </w:r>
          </w:p>
        </w:tc>
      </w:tr>
    </w:tbl>
    <w:p>
      <w:pPr>
        <w:pStyle w:val="Normal"/>
        <w:tabs>
          <w:tab w:val="clear" w:pos="720"/>
          <w:tab w:val="right" w:pos="9360" w:leader="dot"/>
        </w:tabs>
        <w:spacing w:lineRule="exact" w:line="240" w:before="240" w:after="0"/>
        <w:jc w:val="both"/>
        <w:rPr>
          <w:sz w:val="20"/>
          <w:szCs w:val="22"/>
        </w:rPr>
      </w:pPr>
      <w:r>
        <w:rPr>
          <w:sz w:val="20"/>
          <w:szCs w:val="22"/>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 and Attention: Credit Department at the above address and facsimile no. (713) 853-9476.</w:t>
      </w:r>
    </w:p>
    <w:p>
      <w:pPr>
        <w:pStyle w:val="Normal"/>
        <w:tabs>
          <w:tab w:val="clear" w:pos="720"/>
          <w:tab w:val="right" w:pos="9360" w:leader="dot"/>
        </w:tabs>
        <w:spacing w:lineRule="exact" w:line="240"/>
        <w:jc w:val="both"/>
        <w:rPr>
          <w:sz w:val="20"/>
          <w:szCs w:val="22"/>
        </w:rPr>
      </w:pPr>
      <w:r>
        <w:rPr>
          <w:sz w:val="20"/>
          <w:szCs w:val="22"/>
        </w:rPr>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t>Address for notices or communications to BP Group:</w:t>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r>
              <w:rPr>
                <w:sz w:val="20"/>
                <w:szCs w:val="22"/>
                <w:u w:val="single"/>
              </w:rPr>
              <w:t xml:space="preserve"> </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BP Corporation North America Inc.</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P.O. Box 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77253-3092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501 Westlake Park Blvd.</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77079</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 xml:space="preserve">Attn.:  </w:t>
            </w:r>
            <w:r>
              <w:rPr>
                <w:sz w:val="20"/>
              </w:rPr>
              <w:t>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Facsimile No.:  (281) 366-7909</w:t>
            </w:r>
          </w:p>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Telephone No.: (281) 366-3449</w:t>
            </w:r>
          </w:p>
        </w:tc>
      </w:tr>
    </w:tbl>
    <w:p>
      <w:pPr>
        <w:pStyle w:val="OmniPage5"/>
        <w:ind w:firstLine="722" w:start="100" w:end="138"/>
        <w:jc w:val="both"/>
        <w:rPr/>
      </w:pPr>
      <w:r>
        <w:rPr/>
        <w:t xml:space="preserve"> </w:t>
      </w:r>
    </w:p>
    <w:p>
      <w:pPr>
        <w:pStyle w:val="OmniPage5"/>
        <w:ind w:end="138"/>
        <w:jc w:val="both"/>
        <w:rPr>
          <w:szCs w:val="22"/>
        </w:rPr>
      </w:pPr>
      <w:r>
        <w:rPr>
          <w:szCs w:val="22"/>
        </w:rPr>
        <w:t>A copy of any notice sent to BP Group pursuant to Section 6 must also be sent to BP Corporation North America Inc., Attention:  BP Legal Gas &amp; Power at the above address and facsimile no. (281) 366-5901.</w:t>
      </w:r>
    </w:p>
    <w:p>
      <w:pPr>
        <w:pStyle w:val="OmniPage5"/>
        <w:ind w:end="138"/>
        <w:jc w:val="both"/>
        <w:rPr>
          <w:szCs w:val="22"/>
        </w:rPr>
      </w:pPr>
      <w:r>
        <w:rPr>
          <w:szCs w:val="22"/>
        </w:rPr>
      </w:r>
    </w:p>
    <w:p>
      <w:pPr>
        <w:pStyle w:val="BodyText2"/>
        <w:rPr/>
      </w:pPr>
      <w:r>
        <w:rPr/>
        <w:t>Any notice or other communication in respect of this NA Master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rPr>
          <w:sz w:val="20"/>
        </w:rPr>
      </w:pPr>
      <w:r>
        <w:rPr>
          <w:sz w:val="20"/>
        </w:rPr>
      </w:r>
    </w:p>
    <w:p>
      <w:pPr>
        <w:pStyle w:val="Normal"/>
        <w:rPr>
          <w:b/>
          <w:bCs/>
          <w:sz w:val="20"/>
        </w:rPr>
      </w:pPr>
      <w:r>
        <w:rPr>
          <w:b/>
          <w:bCs/>
          <w:sz w:val="20"/>
        </w:rPr>
        <w:t>11.</w:t>
        <w:tab/>
        <w:t>Miscellaneous.</w:t>
      </w:r>
    </w:p>
    <w:p>
      <w:pPr>
        <w:pStyle w:val="BodyTextIndent"/>
        <w:ind w:start="0" w:end="0"/>
        <w:rPr>
          <w:b/>
          <w:bCs/>
          <w:sz w:val="20"/>
        </w:rPr>
      </w:pPr>
      <w:r>
        <w:rPr>
          <w:b/>
          <w:bCs/>
          <w:sz w:val="20"/>
        </w:rPr>
      </w:r>
    </w:p>
    <w:p>
      <w:pPr>
        <w:pStyle w:val="BodyTextIndent"/>
        <w:ind w:hanging="720" w:start="1440" w:end="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Indent"/>
        <w:ind w:start="0" w:end="0"/>
        <w:rPr>
          <w:sz w:val="20"/>
        </w:rPr>
      </w:pPr>
      <w:r>
        <w:rPr>
          <w:sz w:val="20"/>
        </w:rPr>
      </w:r>
    </w:p>
    <w:p>
      <w:pPr>
        <w:pStyle w:val="BodyTextIndent"/>
        <w:ind w:hanging="720" w:start="1440" w:end="0"/>
        <w:rPr>
          <w:sz w:val="20"/>
        </w:rPr>
      </w:pPr>
      <w:r>
        <w:rPr>
          <w:sz w:val="20"/>
        </w:rPr>
        <w:t>(b)</w:t>
        <w:tab/>
      </w:r>
      <w:r>
        <w:rPr>
          <w:i/>
          <w:sz w:val="20"/>
        </w:rPr>
        <w:t>Amendments and Waivers</w:t>
      </w:r>
      <w:r>
        <w:rPr>
          <w:sz w:val="20"/>
        </w:rPr>
        <w:t xml:space="preserve">.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w:t>
      </w:r>
      <w:r>
        <w:rPr>
          <w:bCs/>
          <w:sz w:val="20"/>
        </w:rPr>
        <w:t>Confirmations of Transactions under any Underlying Master Agreement shall not serve as an amendment for purposes of this Section 10(b).</w:t>
      </w:r>
    </w:p>
    <w:p>
      <w:pPr>
        <w:pStyle w:val="BodyTextIndent"/>
        <w:ind w:start="0" w:end="0"/>
        <w:rPr>
          <w:sz w:val="20"/>
        </w:rPr>
      </w:pPr>
      <w:r>
        <w:rPr>
          <w:sz w:val="20"/>
        </w:rPr>
      </w:r>
    </w:p>
    <w:p>
      <w:pPr>
        <w:pStyle w:val="BodyTextIndent"/>
        <w:ind w:hanging="720" w:start="1440" w:end="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Indent"/>
        <w:ind w:start="0" w:end="0"/>
        <w:rPr>
          <w:sz w:val="20"/>
        </w:rPr>
      </w:pPr>
      <w:r>
        <w:rPr>
          <w:sz w:val="20"/>
        </w:rPr>
      </w:r>
    </w:p>
    <w:p>
      <w:pPr>
        <w:pStyle w:val="BodyTextIndent"/>
        <w:ind w:hanging="720" w:start="1440" w:end="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Indent"/>
        <w:ind w:start="0" w:end="0"/>
        <w:rPr>
          <w:sz w:val="20"/>
        </w:rPr>
      </w:pPr>
      <w:r>
        <w:rPr>
          <w:sz w:val="20"/>
        </w:rPr>
      </w:r>
    </w:p>
    <w:p>
      <w:pPr>
        <w:pStyle w:val="BodyTextIndent"/>
        <w:ind w:hanging="720" w:start="1440" w:end="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Indent"/>
        <w:ind w:start="0" w:end="0"/>
        <w:rPr>
          <w:sz w:val="20"/>
        </w:rPr>
      </w:pPr>
      <w:r>
        <w:rPr>
          <w:sz w:val="20"/>
        </w:rPr>
      </w:r>
    </w:p>
    <w:p>
      <w:pPr>
        <w:pStyle w:val="BodyTextIndent"/>
        <w:ind w:hanging="720" w:start="1440" w:end="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Not Construed Against Drafter</w:t>
      </w:r>
      <w:r>
        <w:rPr>
          <w:sz w:val="20"/>
        </w:rPr>
        <w:t>.  The rule of contract construction that a contract is construed against its drafter shall not apply to this NA Master Agreement, and the parties waive any right and shall not assert any claim in any proceeding that this NA Master Agreement should be construed against the drafter hereof.</w:t>
      </w:r>
    </w:p>
    <w:p>
      <w:pPr>
        <w:pStyle w:val="BodyTextIndent"/>
        <w:ind w:start="0" w:end="0"/>
        <w:rPr>
          <w:sz w:val="20"/>
        </w:rPr>
      </w:pPr>
      <w:r>
        <w:rPr>
          <w:sz w:val="20"/>
        </w:rPr>
      </w:r>
    </w:p>
    <w:p>
      <w:pPr>
        <w:pStyle w:val="BodyTextIndent"/>
        <w:ind w:hanging="720" w:start="1440" w:end="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bCs/>
          <w:sz w:val="20"/>
        </w:rPr>
        <w:t>.</w:t>
      </w:r>
      <w:r>
        <w:rPr>
          <w:sz w:val="20"/>
        </w:rPr>
        <w:t xml:space="preserve">  </w:t>
      </w:r>
    </w:p>
    <w:p>
      <w:pPr>
        <w:pStyle w:val="BodyTextIndent"/>
        <w:ind w:hanging="720" w:start="1440" w:end="0"/>
        <w:rPr>
          <w:sz w:val="20"/>
        </w:rPr>
      </w:pPr>
      <w:r>
        <w:rPr>
          <w:sz w:val="20"/>
        </w:rPr>
      </w:r>
    </w:p>
    <w:p>
      <w:pPr>
        <w:pStyle w:val="BodyTextIndent"/>
        <w:ind w:hanging="720" w:start="1440" w:end="0"/>
        <w:rPr/>
      </w:pPr>
      <w:r>
        <w:rPr>
          <w:sz w:val="20"/>
        </w:rPr>
        <w:t>(i)</w:t>
        <w:tab/>
      </w:r>
      <w:r>
        <w:rPr>
          <w:i/>
          <w:iCs/>
          <w:sz w:val="20"/>
        </w:rPr>
        <w:t>Confidentiality</w:t>
      </w:r>
      <w:r>
        <w:rPr>
          <w:sz w:val="20"/>
        </w:rPr>
        <w:t xml:space="preserve">.  </w:t>
      </w:r>
      <w:r>
        <w:rPr>
          <w:sz w:val="20"/>
          <w:szCs w:val="22"/>
        </w:rPr>
        <w:t>The contents of this NA Master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Indent"/>
        <w:ind w:hanging="720" w:start="1440" w:end="0"/>
        <w:rPr>
          <w:sz w:val="20"/>
          <w:szCs w:val="22"/>
        </w:rPr>
      </w:pPr>
      <w:r>
        <w:rPr>
          <w:sz w:val="20"/>
          <w:szCs w:val="22"/>
        </w:rPr>
      </w:r>
    </w:p>
    <w:p>
      <w:pPr>
        <w:pStyle w:val="Normal"/>
        <w:tabs>
          <w:tab w:val="clear" w:pos="720"/>
          <w:tab w:val="left" w:pos="1260" w:leader="none"/>
        </w:tabs>
        <w:ind w:firstLine="720" w:end="0"/>
        <w:jc w:val="both"/>
        <w:rPr/>
      </w:pPr>
      <w:r>
        <w:rPr>
          <w:sz w:val="20"/>
          <w:szCs w:val="22"/>
        </w:rPr>
        <w:t>(j)</w:t>
        <w:tab/>
      </w:r>
      <w:r>
        <w:rPr>
          <w:i/>
          <w:iCs/>
          <w:sz w:val="20"/>
          <w:szCs w:val="22"/>
        </w:rPr>
        <w:t>Amendment of Underlying Master Agreements; Severability</w:t>
      </w:r>
      <w:r>
        <w:rPr>
          <w:sz w:val="20"/>
          <w:szCs w:val="22"/>
        </w:rPr>
        <w:t xml:space="preserve">.  </w:t>
      </w:r>
    </w:p>
    <w:p>
      <w:pPr>
        <w:pStyle w:val="Normal"/>
        <w:tabs>
          <w:tab w:val="clear" w:pos="720"/>
          <w:tab w:val="left" w:pos="1260" w:leader="none"/>
        </w:tabs>
        <w:ind w:firstLine="720" w:end="0"/>
        <w:jc w:val="both"/>
        <w:rPr>
          <w:i/>
          <w:i/>
          <w:iCs/>
          <w:sz w:val="20"/>
          <w:szCs w:val="22"/>
        </w:rPr>
      </w:pPr>
      <w:r>
        <w:rPr>
          <w:i/>
          <w:iCs/>
          <w:sz w:val="20"/>
          <w:szCs w:val="22"/>
        </w:rPr>
        <w:tab/>
      </w:r>
    </w:p>
    <w:p>
      <w:pPr>
        <w:pStyle w:val="Normal"/>
        <w:tabs>
          <w:tab w:val="clear" w:pos="720"/>
          <w:tab w:val="left" w:pos="1260" w:leader="none"/>
        </w:tabs>
        <w:ind w:hanging="1440" w:start="2160" w:end="0"/>
        <w:jc w:val="both"/>
        <w:rPr>
          <w:sz w:val="20"/>
        </w:rPr>
      </w:pPr>
      <w:r>
        <w:rPr>
          <w:sz w:val="20"/>
        </w:rPr>
        <w:tab/>
        <w:t xml:space="preserve">(1)  </w:t>
        <w:tab/>
        <w:t>Each party agrees that the Underlying Master Agreements are hereby amended to the extent necessary to give effect to this NA Master Agreement, including, without limitation, by the deletion of any automatic termination provisions set forth in any of the Underlying Master Agreements.  Except as amended by this NA Master Agreement, the Underlying Master Agreements and all Transactions thereunder shall remain in full force and effect.  Subject to Section 11(j)(3), in the event any one or more of the provisions contained in this NA Master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0"/>
        </w:rPr>
      </w:pPr>
      <w:r>
        <w:rPr>
          <w:sz w:val="20"/>
        </w:rPr>
      </w:r>
    </w:p>
    <w:p>
      <w:pPr>
        <w:pStyle w:val="BodyTextIndent3"/>
        <w:rPr/>
      </w:pPr>
      <w:r>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ind w:firstLine="720" w:end="0"/>
        <w:jc w:val="both"/>
        <w:rPr>
          <w:sz w:val="20"/>
        </w:rPr>
      </w:pPr>
      <w:r>
        <w:rPr>
          <w:sz w:val="20"/>
        </w:rPr>
      </w:r>
    </w:p>
    <w:p>
      <w:pPr>
        <w:pStyle w:val="Normal"/>
        <w:tabs>
          <w:tab w:val="clear" w:pos="720"/>
          <w:tab w:val="left" w:pos="1260" w:leader="none"/>
        </w:tabs>
        <w:ind w:hanging="1440" w:start="2160" w:end="0"/>
        <w:jc w:val="both"/>
        <w:rPr/>
      </w:pPr>
      <w:r>
        <w:rPr>
          <w:sz w:val="20"/>
        </w:rPr>
        <w:tab/>
        <w:t xml:space="preserve">(3)  </w:t>
        <w:tab/>
        <w:t xml:space="preserve">If either of Section 6 or Section 7 is deemed or held to be invalid, illegal, or unenforceable, this NA Master Agreement shall be deemed to be null and void </w:t>
      </w:r>
      <w:r>
        <w:rPr>
          <w:i/>
          <w:iCs/>
          <w:sz w:val="20"/>
        </w:rPr>
        <w:t>ab initio</w:t>
      </w:r>
      <w:r>
        <w:rPr>
          <w:sz w:val="20"/>
        </w:rPr>
        <w:t xml:space="preserve"> in its entirety and without any further force or effect.</w:t>
      </w:r>
    </w:p>
    <w:p>
      <w:pPr>
        <w:pStyle w:val="BodyTextIndent"/>
        <w:ind w:start="0" w:end="0"/>
        <w:rPr>
          <w:sz w:val="20"/>
        </w:rPr>
      </w:pPr>
      <w:r>
        <w:rPr>
          <w:sz w:val="20"/>
        </w:rPr>
      </w:r>
    </w:p>
    <w:p>
      <w:pPr>
        <w:pStyle w:val="BodyTextIndent"/>
        <w:ind w:start="0" w:end="0"/>
        <w:rPr>
          <w:b/>
          <w:bCs/>
          <w:sz w:val="20"/>
        </w:rPr>
      </w:pPr>
      <w:r>
        <w:rPr>
          <w:b/>
          <w:bCs/>
          <w:sz w:val="20"/>
        </w:rPr>
        <w:t>12.</w:t>
        <w:tab/>
        <w:t>Arbitration.</w:t>
      </w:r>
    </w:p>
    <w:p>
      <w:pPr>
        <w:pStyle w:val="BodyTextIndent"/>
        <w:ind w:start="0" w:end="0"/>
        <w:rPr>
          <w:b/>
          <w:bCs/>
          <w:sz w:val="20"/>
        </w:rPr>
      </w:pPr>
      <w:r>
        <w:rPr>
          <w:b/>
          <w:bCs/>
          <w:sz w:val="20"/>
        </w:rPr>
      </w:r>
    </w:p>
    <w:p>
      <w:pPr>
        <w:pStyle w:val="BodyTextIndent"/>
        <w:ind w:firstLine="720" w:start="0" w:end="0"/>
        <w:rPr>
          <w:sz w:val="20"/>
        </w:rPr>
      </w:pPr>
      <w:r>
        <w:rPr>
          <w:sz w:val="20"/>
        </w:rPr>
        <w:t>Notwithstanding any provisions in any of the Underlying Master Agreements, a</w:t>
      </w:r>
      <w:r>
        <w:rPr>
          <w:sz w:val="20"/>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bCs/>
          <w:i/>
          <w:iCs/>
          <w:sz w:val="20"/>
          <w:szCs w:val="22"/>
        </w:rPr>
        <w:t>Claims</w:t>
      </w:r>
      <w:r>
        <w:rPr>
          <w:sz w:val="20"/>
          <w:szCs w:val="22"/>
        </w:rPr>
        <w:t>") shall be resolved by binding arbitration.  Arbitration shall be governed by the Federal Arbitration Act (9 U.S.C. Section 1, et seq.) and conducted in accordance with the Commercial Arbitration Rules of the American Arbitration Association (the “</w:t>
      </w:r>
      <w:r>
        <w:rPr>
          <w:b/>
          <w:bCs/>
          <w:i/>
          <w:iCs/>
          <w:sz w:val="20"/>
          <w:szCs w:val="22"/>
        </w:rPr>
        <w:t>AAA</w:t>
      </w:r>
      <w:r>
        <w:rPr>
          <w:sz w:val="20"/>
          <w:szCs w:val="22"/>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rPr>
          <w:b/>
          <w:bCs/>
          <w:sz w:val="20"/>
        </w:rPr>
      </w:pPr>
      <w:r>
        <w:rPr>
          <w:b/>
          <w:bCs/>
          <w:sz w:val="20"/>
        </w:rPr>
        <w:t>13.</w:t>
        <w:tab/>
        <w:t>Definitions.</w:t>
      </w:r>
    </w:p>
    <w:p>
      <w:pPr>
        <w:pStyle w:val="BodyTextIndent"/>
        <w:rPr>
          <w:b/>
          <w:bCs/>
          <w:sz w:val="20"/>
        </w:rPr>
      </w:pPr>
      <w:r>
        <w:rPr>
          <w:b/>
          <w:bCs/>
          <w:sz w:val="20"/>
        </w:rPr>
      </w:r>
    </w:p>
    <w:p>
      <w:pPr>
        <w:pStyle w:val="BodyTextIndent"/>
        <w:ind w:start="0" w:end="0"/>
        <w:rPr>
          <w:sz w:val="20"/>
        </w:rPr>
      </w:pPr>
      <w:r>
        <w:rPr>
          <w:sz w:val="20"/>
        </w:rPr>
        <w:t>As used in this NA Master Agreement:</w:t>
      </w:r>
    </w:p>
    <w:p>
      <w:pPr>
        <w:pStyle w:val="BodyTextIndent"/>
        <w:ind w:start="0" w:end="0"/>
        <w:rPr>
          <w:sz w:val="20"/>
        </w:rPr>
      </w:pPr>
      <w:r>
        <w:rPr>
          <w:sz w:val="20"/>
        </w:rPr>
      </w:r>
    </w:p>
    <w:p>
      <w:pPr>
        <w:pStyle w:val="BodyTextIndent"/>
        <w:ind w:start="0" w:end="0"/>
        <w:rPr/>
      </w:pPr>
      <w:r>
        <w:rPr>
          <w:sz w:val="20"/>
        </w:rPr>
        <w:t>“</w:t>
      </w:r>
      <w:r>
        <w:rPr>
          <w:b/>
          <w:bCs/>
          <w:i/>
          <w:iCs/>
          <w:sz w:val="20"/>
        </w:rPr>
        <w:t>AAA</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Indent"/>
        <w:ind w:start="0" w:end="0"/>
        <w:rPr>
          <w:sz w:val="20"/>
        </w:rPr>
      </w:pPr>
      <w:r>
        <w:rPr>
          <w:sz w:val="20"/>
        </w:rPr>
      </w:r>
    </w:p>
    <w:p>
      <w:pPr>
        <w:pStyle w:val="BodyTextIndent"/>
        <w:ind w:start="0" w:end="0"/>
        <w:rPr/>
      </w:pPr>
      <w:r>
        <w:rPr>
          <w:sz w:val="20"/>
        </w:rPr>
        <w:t>“</w:t>
      </w:r>
      <w:r>
        <w:rPr>
          <w:b/>
          <w:bCs/>
          <w:i/>
          <w:iCs/>
          <w:sz w:val="20"/>
        </w:rPr>
        <w:t>Aggregate</w:t>
      </w:r>
      <w:r>
        <w:rPr>
          <w:sz w:val="20"/>
        </w:rPr>
        <w:t xml:space="preserve"> </w:t>
      </w:r>
      <w:r>
        <w:rPr>
          <w:b/>
          <w:i/>
          <w:sz w:val="20"/>
        </w:rPr>
        <w:t>Termination Payment</w:t>
      </w:r>
      <w:r>
        <w:rPr>
          <w:sz w:val="20"/>
        </w:rPr>
        <w:t>” has the meaning specified in Section 6(d).</w:t>
      </w:r>
    </w:p>
    <w:p>
      <w:pPr>
        <w:pStyle w:val="BodyTextIndent"/>
        <w:ind w:start="0" w:end="0"/>
        <w:rPr>
          <w:sz w:val="20"/>
        </w:rPr>
      </w:pPr>
      <w:r>
        <w:rPr>
          <w:sz w:val="20"/>
        </w:rPr>
      </w:r>
    </w:p>
    <w:p>
      <w:pPr>
        <w:pStyle w:val="BodyTextIndent"/>
        <w:ind w:start="0" w:end="0"/>
        <w:rPr/>
      </w:pPr>
      <w:r>
        <w:rPr>
          <w:sz w:val="20"/>
        </w:rPr>
        <w:t>“</w:t>
      </w:r>
      <w:r>
        <w:rPr>
          <w:b/>
          <w:bCs/>
          <w:i/>
          <w:iCs/>
          <w:sz w:val="20"/>
        </w:rPr>
        <w:t>BP Group Obligations</w:t>
      </w:r>
      <w:r>
        <w:rPr>
          <w:sz w:val="20"/>
        </w:rPr>
        <w:t>” has the meaning specified in Section 8.</w:t>
      </w:r>
    </w:p>
    <w:p>
      <w:pPr>
        <w:pStyle w:val="BodyTextIndent"/>
        <w:ind w:start="0" w:end="0"/>
        <w:rPr>
          <w:sz w:val="20"/>
        </w:rPr>
      </w:pPr>
      <w:r>
        <w:rPr>
          <w:sz w:val="20"/>
        </w:rPr>
      </w:r>
    </w:p>
    <w:p>
      <w:pPr>
        <w:pStyle w:val="BodyTextIndent"/>
        <w:ind w:start="0" w:end="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Indent"/>
        <w:ind w:start="0" w:end="0"/>
        <w:rPr>
          <w:sz w:val="20"/>
        </w:rPr>
      </w:pPr>
      <w:r>
        <w:rPr>
          <w:sz w:val="20"/>
        </w:rPr>
      </w:r>
    </w:p>
    <w:p>
      <w:pPr>
        <w:pStyle w:val="BodyTextIndent"/>
        <w:ind w:start="0" w:end="0"/>
        <w:rPr/>
      </w:pPr>
      <w:r>
        <w:rPr>
          <w:sz w:val="20"/>
        </w:rPr>
        <w:t>“</w:t>
      </w:r>
      <w:r>
        <w:rPr>
          <w:b/>
          <w:bCs/>
          <w:i/>
          <w:iCs/>
          <w:sz w:val="20"/>
        </w:rPr>
        <w:t>Claims</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bCs/>
          <w:i/>
          <w:iCs/>
          <w:sz w:val="20"/>
        </w:rPr>
        <w:t>Code</w:t>
      </w:r>
      <w:r>
        <w:rPr>
          <w:sz w:val="20"/>
        </w:rPr>
        <w:t>” means, the United States Bankruptcy Code, 11 U.S.C. Sections 101, et seq., as amended.</w:t>
      </w:r>
    </w:p>
    <w:p>
      <w:pPr>
        <w:pStyle w:val="BodyTextIndent"/>
        <w:ind w:start="0" w:end="0"/>
        <w:rPr>
          <w:sz w:val="20"/>
        </w:rPr>
      </w:pPr>
      <w:r>
        <w:rPr>
          <w:sz w:val="20"/>
        </w:rPr>
      </w:r>
    </w:p>
    <w:p>
      <w:pPr>
        <w:pStyle w:val="BodyTextIndent"/>
        <w:ind w:start="0" w:end="0"/>
        <w:rPr/>
      </w:pPr>
      <w:r>
        <w:rPr>
          <w:sz w:val="20"/>
        </w:rPr>
        <w:t>“</w:t>
      </w:r>
      <w:r>
        <w:rPr>
          <w:b/>
          <w:i/>
          <w:sz w:val="20"/>
        </w:rPr>
        <w:t>consent</w:t>
      </w:r>
      <w:r>
        <w:rPr>
          <w:sz w:val="20"/>
        </w:rPr>
        <w:t>” means and includes consent, approval, action, authorization, exemption, notice, filing, registration, or exchange control consent.</w:t>
      </w:r>
    </w:p>
    <w:p>
      <w:pPr>
        <w:pStyle w:val="BodyTextIndent"/>
        <w:ind w:start="0" w:end="0"/>
        <w:rPr>
          <w:sz w:val="20"/>
        </w:rPr>
      </w:pPr>
      <w:r>
        <w:rPr>
          <w:sz w:val="20"/>
        </w:rPr>
      </w:r>
    </w:p>
    <w:p>
      <w:pPr>
        <w:pStyle w:val="BodyTextIndent"/>
        <w:ind w:start="0" w:end="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Indent"/>
        <w:ind w:start="0" w:end="0"/>
        <w:rPr>
          <w:sz w:val="20"/>
        </w:rPr>
      </w:pPr>
      <w:r>
        <w:rPr>
          <w:sz w:val="20"/>
        </w:rPr>
      </w:r>
    </w:p>
    <w:p>
      <w:pPr>
        <w:pStyle w:val="BodyTextIndent"/>
        <w:ind w:start="0" w:end="0"/>
        <w:rPr/>
      </w:pPr>
      <w:r>
        <w:rPr>
          <w:sz w:val="20"/>
        </w:rPr>
        <w:t>“</w:t>
      </w:r>
      <w:r>
        <w:rPr>
          <w:b/>
          <w:i/>
          <w:sz w:val="20"/>
        </w:rPr>
        <w:t>Early Termination Date</w:t>
      </w:r>
      <w:r>
        <w:rPr>
          <w:sz w:val="20"/>
        </w:rPr>
        <w:t>” means the date determined in accordance with Section 6(a).</w:t>
      </w:r>
    </w:p>
    <w:p>
      <w:pPr>
        <w:pStyle w:val="BodyTextIndent"/>
        <w:ind w:start="0" w:end="0"/>
        <w:rPr>
          <w:sz w:val="20"/>
        </w:rPr>
      </w:pPr>
      <w:r>
        <w:rPr>
          <w:sz w:val="20"/>
        </w:rPr>
      </w:r>
    </w:p>
    <w:p>
      <w:pPr>
        <w:pStyle w:val="BodyTextIndent"/>
        <w:ind w:start="0" w:end="0"/>
        <w:rPr/>
      </w:pPr>
      <w:r>
        <w:rPr>
          <w:sz w:val="20"/>
        </w:rPr>
        <w:t>“</w:t>
      </w:r>
      <w:r>
        <w:rPr>
          <w:b/>
          <w:bCs/>
          <w:i/>
          <w:iCs/>
          <w:sz w:val="20"/>
        </w:rPr>
        <w:t>EFC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bCs/>
          <w:i/>
          <w:iCs/>
          <w:sz w:val="20"/>
        </w:rPr>
        <w:t>Enron Group Obligations</w:t>
      </w:r>
      <w:r>
        <w:rPr>
          <w:sz w:val="20"/>
        </w:rPr>
        <w:t>” has the meaning specified in Section 8.</w:t>
      </w:r>
    </w:p>
    <w:p>
      <w:pPr>
        <w:pStyle w:val="BodyTextIndent"/>
        <w:ind w:start="0" w:end="0"/>
        <w:rPr>
          <w:sz w:val="20"/>
        </w:rPr>
      </w:pPr>
      <w:r>
        <w:rPr>
          <w:sz w:val="20"/>
        </w:rPr>
      </w:r>
    </w:p>
    <w:p>
      <w:pPr>
        <w:pStyle w:val="BodyTextIndent"/>
        <w:ind w:start="0" w:end="0"/>
        <w:rPr/>
      </w:pPr>
      <w:r>
        <w:rPr>
          <w:sz w:val="20"/>
        </w:rPr>
        <w:t>“</w:t>
      </w:r>
      <w:r>
        <w:rPr>
          <w:b/>
          <w:i/>
          <w:sz w:val="20"/>
        </w:rPr>
        <w:t>Event of Default</w:t>
      </w:r>
      <w:r>
        <w:rPr>
          <w:sz w:val="20"/>
        </w:rPr>
        <w:t>” has the meaning specified in Section 5.</w:t>
      </w:r>
    </w:p>
    <w:p>
      <w:pPr>
        <w:pStyle w:val="BodyTextIndent"/>
        <w:ind w:start="0" w:end="0"/>
        <w:rPr>
          <w:sz w:val="20"/>
        </w:rPr>
      </w:pPr>
      <w:r>
        <w:rPr>
          <w:sz w:val="20"/>
        </w:rPr>
      </w:r>
    </w:p>
    <w:p>
      <w:pPr>
        <w:pStyle w:val="BodyTextIndent"/>
        <w:ind w:start="0" w:end="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iCs/>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Indent"/>
        <w:ind w:start="0" w:end="0"/>
        <w:rPr>
          <w:sz w:val="20"/>
        </w:rPr>
      </w:pPr>
      <w:r>
        <w:rPr>
          <w:sz w:val="20"/>
        </w:rPr>
      </w:r>
    </w:p>
    <w:p>
      <w:pPr>
        <w:pStyle w:val="BodyTextIndent"/>
        <w:ind w:start="0" w:end="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Indent"/>
        <w:ind w:start="0" w:end="0"/>
        <w:rPr>
          <w:sz w:val="20"/>
        </w:rPr>
      </w:pPr>
      <w:r>
        <w:rPr>
          <w:sz w:val="20"/>
        </w:rPr>
      </w:r>
    </w:p>
    <w:p>
      <w:pPr>
        <w:pStyle w:val="BodyTextIndent"/>
        <w:ind w:start="0" w:end="0"/>
        <w:rPr/>
      </w:pPr>
      <w:r>
        <w:rPr>
          <w:sz w:val="20"/>
        </w:rPr>
        <w:t>“</w:t>
      </w:r>
      <w:r>
        <w:rPr>
          <w:b/>
          <w:bCs/>
          <w:i/>
          <w:iCs/>
          <w:sz w:val="20"/>
        </w:rPr>
        <w:t>Other Party</w:t>
      </w:r>
      <w:r>
        <w:rPr>
          <w:sz w:val="20"/>
        </w:rPr>
        <w:t>” means, in respect of any BP Party, the parties comprising the Enron Group, and in respect of any Enron Party, the parties comprising the BP Group.</w:t>
      </w:r>
    </w:p>
    <w:p>
      <w:pPr>
        <w:pStyle w:val="BodyTextIndent"/>
        <w:ind w:start="0" w:end="0"/>
        <w:rPr>
          <w:sz w:val="20"/>
        </w:rPr>
      </w:pPr>
      <w:r>
        <w:rPr>
          <w:sz w:val="20"/>
        </w:rPr>
      </w:r>
    </w:p>
    <w:p>
      <w:pPr>
        <w:pStyle w:val="BodyTextIndent"/>
        <w:ind w:start="0" w:end="0"/>
        <w:rPr/>
      </w:pPr>
      <w:r>
        <w:rPr>
          <w:sz w:val="20"/>
        </w:rPr>
        <w:t>“</w:t>
      </w:r>
      <w:r>
        <w:rPr>
          <w:b/>
          <w:bCs/>
          <w:i/>
          <w:iCs/>
          <w:sz w:val="20"/>
        </w:rPr>
        <w:t>Party Designate</w:t>
      </w:r>
      <w:r>
        <w:rPr>
          <w:sz w:val="20"/>
        </w:rPr>
        <w:t>” means, in respect of the BP Group or any BP Party, BP Corporation North America Inc., and in respect of the Enron Group or any Enron Party, Enron North America Corp.</w:t>
      </w:r>
    </w:p>
    <w:p>
      <w:pPr>
        <w:pStyle w:val="BodyTextIndent"/>
        <w:ind w:start="0" w:end="0"/>
        <w:rPr>
          <w:sz w:val="20"/>
        </w:rPr>
      </w:pPr>
      <w:r>
        <w:rPr>
          <w:sz w:val="20"/>
        </w:rPr>
      </w:r>
    </w:p>
    <w:p>
      <w:pPr>
        <w:pStyle w:val="BodyTextIndent"/>
        <w:ind w:start="0" w:end="0"/>
        <w:rPr/>
      </w:pPr>
      <w:r>
        <w:rPr>
          <w:sz w:val="20"/>
        </w:rPr>
        <w:t>“</w:t>
      </w:r>
      <w:r>
        <w:rPr>
          <w:b/>
          <w:bCs/>
          <w:i/>
          <w:iCs/>
          <w:sz w:val="20"/>
        </w:rPr>
        <w:t>Swap Agreement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bCs/>
          <w:i/>
          <w:iCs/>
          <w:sz w:val="20"/>
        </w:rPr>
        <w:t>Transaction Termination Amounts</w:t>
      </w:r>
      <w:r>
        <w:rPr>
          <w:sz w:val="20"/>
        </w:rPr>
        <w:t>” has the meaning specified in Section 6(d).</w:t>
      </w:r>
      <w:r>
        <w:br w:type="page"/>
      </w:r>
    </w:p>
    <w:p>
      <w:pPr>
        <w:pStyle w:val="BodyTextIndent"/>
        <w:ind w:start="0" w:end="0"/>
        <w:rPr>
          <w:sz w:val="20"/>
        </w:rPr>
      </w:pPr>
      <w:r>
        <w:rPr>
          <w:sz w:val="20"/>
        </w:rPr>
      </w:r>
    </w:p>
    <w:p>
      <w:pPr>
        <w:pStyle w:val="BodyTextIndent"/>
        <w:ind w:start="0" w:end="0"/>
        <w:rPr>
          <w:sz w:val="20"/>
        </w:rPr>
      </w:pPr>
      <w:r>
        <w:rPr>
          <w:sz w:val="20"/>
        </w:rPr>
        <w:t>IN WITNESS WHEREOF, the parties have executed this NA Master Agreement on the respective dates specified below to be effective on and after the Effective Date.</w:t>
      </w:r>
    </w:p>
    <w:p>
      <w:pPr>
        <w:pStyle w:val="BodyTextIndent"/>
        <w:ind w:start="0" w:end="0"/>
        <w:rPr>
          <w:sz w:val="20"/>
        </w:rPr>
      </w:pPr>
      <w:r>
        <w:rPr>
          <w:sz w:val="20"/>
        </w:rPr>
      </w:r>
    </w:p>
    <w:p>
      <w:pPr>
        <w:pStyle w:val="BodyTextIndent"/>
        <w:ind w:start="0" w:end="0"/>
        <w:rPr/>
      </w:pPr>
      <w:r>
        <w:rPr>
          <w:b/>
          <w:sz w:val="20"/>
        </w:rPr>
        <w:t>BP Party</w:t>
      </w:r>
      <w:r>
        <w:rPr>
          <w:sz w:val="20"/>
        </w:rPr>
        <w:t>:</w:t>
        <w:tab/>
        <w:tab/>
        <w:tab/>
        <w:tab/>
        <w:tab/>
        <w:tab/>
      </w:r>
      <w:r>
        <w:rPr>
          <w:b/>
          <w:sz w:val="20"/>
        </w:rPr>
        <w:t>Enron Party</w:t>
      </w:r>
      <w:r>
        <w:rPr>
          <w:sz w:val="20"/>
        </w:rPr>
        <w:t>:</w:t>
      </w:r>
    </w:p>
    <w:p>
      <w:pPr>
        <w:pStyle w:val="BodyTextIndent"/>
        <w:ind w:start="0" w:end="0"/>
        <w:rPr>
          <w:sz w:val="20"/>
        </w:rPr>
      </w:pPr>
      <w:r>
        <w:rPr>
          <w:sz w:val="20"/>
        </w:rPr>
      </w:r>
    </w:p>
    <w:p>
      <w:pPr>
        <w:pStyle w:val="BodyTextIndent"/>
        <w:ind w:start="0" w:end="0"/>
        <w:rPr>
          <w:sz w:val="20"/>
        </w:rPr>
      </w:pPr>
      <w:r>
        <w:rPr>
          <w:sz w:val="20"/>
        </w:rPr>
        <w:t>BP CORPORATION NORTH AMERICA INC.</w:t>
        <w:tab/>
        <w:tab/>
        <w:t>ENRON NORTH AMERICA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ENERGY COMPANY</w:t>
        <w:tab/>
        <w:tab/>
        <w:tab/>
        <w:tab/>
        <w:tab/>
        <w:t>ENRON POWER MARKETING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VASTAR RESOURCES, INC.</w:t>
        <w:tab/>
        <w:tab/>
        <w:tab/>
        <w:tab/>
        <w:t>ENRON CANADA CORP.</w:t>
      </w:r>
    </w:p>
    <w:p>
      <w:pPr>
        <w:pStyle w:val="BodyTextIndent"/>
        <w:ind w:start="0" w:end="0"/>
        <w:rPr>
          <w:sz w:val="20"/>
        </w:rPr>
      </w:pPr>
      <w:r>
        <w:rPr>
          <w:sz w:val="20"/>
        </w:rPr>
      </w:r>
    </w:p>
    <w:p>
      <w:pPr>
        <w:pStyle w:val="BodyTextIndent"/>
        <w:ind w:start="0" w:end="0"/>
        <w:rPr>
          <w:sz w:val="20"/>
        </w:rPr>
      </w:pPr>
      <w:r>
        <w:rPr>
          <w:sz w:val="20"/>
        </w:rPr>
        <w:t>By:</w:t>
        <w:tab/>
        <w:t>BP Energy Company, as Agent</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COMPANY</w:t>
        <w:tab/>
        <w:tab/>
        <w:tab/>
        <w:t>ENRON ENERGY SERVICES,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MARKETING CORP.</w:t>
        <w:tab/>
        <w:tab/>
        <w:t>ENRON RESERVE ACQUISITION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CIBOLA ENERGY SERVICES CORPORATION</w:t>
        <w:tab/>
        <w:tab/>
        <w:t>ENRON PETROCHEMICALS COMPANY,</w:t>
      </w:r>
    </w:p>
    <w:p>
      <w:pPr>
        <w:pStyle w:val="BodyTextIndent"/>
        <w:ind w:start="0" w:end="0"/>
        <w:rPr>
          <w:sz w:val="20"/>
        </w:rPr>
      </w:pPr>
      <w:r>
        <w:rPr>
          <w:sz w:val="20"/>
        </w:rPr>
        <w:tab/>
        <w:tab/>
        <w:tab/>
        <w:tab/>
        <w:tab/>
        <w:tab/>
        <w:tab/>
        <w:t>a division of 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r>
        <w:br w:type="page"/>
      </w:r>
    </w:p>
    <w:p>
      <w:pPr>
        <w:pStyle w:val="BodyTextIndent"/>
        <w:ind w:start="0" w:end="0"/>
        <w:rPr>
          <w:sz w:val="20"/>
        </w:rPr>
      </w:pPr>
      <w:r>
        <w:rPr>
          <w:sz w:val="20"/>
        </w:rPr>
        <w:t>IGI RESOURCES, INC.</w:t>
        <w:tab/>
        <w:tab/>
        <w:tab/>
        <w:tab/>
        <w:tab/>
        <w:t>ENA UPSTREAM COMPANY, LLC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OIL SUPPLY COMPANY</w:t>
        <w:tab/>
        <w:tab/>
        <w:tab/>
        <w:tab/>
        <w:t>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PRODUCTS NORTH AMERICA INC.</w:t>
        <w:tab/>
        <w:tab/>
        <w:tab/>
        <w:t>LOA, INC.</w:t>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t>By:</w:t>
      </w:r>
      <w:r>
        <w:rPr>
          <w:sz w:val="20"/>
          <w:u w:val="single"/>
        </w:rPr>
        <w:tab/>
        <w:tab/>
        <w:tab/>
        <w:tab/>
        <w:tab/>
      </w:r>
      <w:r>
        <w:rPr>
          <w:sz w:val="20"/>
        </w:rPr>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NORTH AMERICAN PETROLEUM,</w:t>
        <w:tab/>
        <w:tab/>
        <w:tab/>
        <w:t>ENRON GAS LIQUIDS INC.</w:t>
      </w:r>
    </w:p>
    <w:p>
      <w:pPr>
        <w:pStyle w:val="BodyTextIndent"/>
        <w:ind w:start="0" w:end="0"/>
        <w:rPr>
          <w:sz w:val="20"/>
        </w:rPr>
      </w:pPr>
      <w:r>
        <w:rPr>
          <w:sz w:val="20"/>
        </w:rPr>
        <w:t>a division of BP Products North America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AMOCO CHEMICAL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ATLANTIC RICHFIELD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AMOCO PRODUCTION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t>BP CHEMICALS INC.</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BP (11-1-01)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none"/>
      <w:suff w:val="nothing"/>
      <w:lvlText w:val=""/>
      <w:lvlJc w:val="start"/>
      <w:pPr>
        <w:tabs>
          <w:tab w:val="num" w:pos="0"/>
        </w:tabs>
        <w:ind w:start="720" w:hanging="0"/>
      </w:p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paragraph" w:styleId="Heading">
    <w:name w:val="Heading"/>
    <w:basedOn w:val="Normal"/>
    <w:next w:val="BodyText"/>
    <w:qFormat/>
    <w:pPr>
      <w:jc w:val="center"/>
      <w:outlineLvl w:val="0"/>
    </w:pPr>
    <w:rPr>
      <w:b/>
    </w:rPr>
  </w:style>
  <w:style w:type="paragraph" w:styleId="BodyText">
    <w:name w:val="Body Text"/>
    <w:basedOn w:val="Normal"/>
    <w:pPr>
      <w:jc w:val="both"/>
      <w:outlineLvl w:val="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Header">
    <w:name w:val="header"/>
    <w:basedOn w:val="Normal"/>
    <w:pPr>
      <w:tabs>
        <w:tab w:val="clear" w:pos="720"/>
        <w:tab w:val="center" w:pos="4320" w:leader="none"/>
        <w:tab w:val="right" w:pos="8640" w:leader="none"/>
      </w:tabs>
    </w:pPr>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2">
    <w:name w:val="Body Text 2"/>
    <w:basedOn w:val="Normal"/>
    <w:qFormat/>
    <w:pPr>
      <w:jc w:val="both"/>
    </w:pPr>
    <w:rPr>
      <w:sz w:val="20"/>
    </w:rPr>
  </w:style>
  <w:style w:type="paragraph" w:styleId="OmniPage5">
    <w:name w:val="OmniPage #5"/>
    <w:basedOn w:val="Normal"/>
    <w:qFormat/>
    <w:pPr/>
    <w:rPr>
      <w:sz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autoSpaceDE w:val="false"/>
      <w:ind w:firstLine="720" w:start="0" w:end="0"/>
      <w:jc w:val="both"/>
    </w:pPr>
    <w:rPr>
      <w:sz w:val="20"/>
    </w:rPr>
  </w:style>
  <w:style w:type="paragraph" w:styleId="BodyTextIndent3">
    <w:name w:val="Body Text Indent 3"/>
    <w:basedOn w:val="Normal"/>
    <w:qFormat/>
    <w:pPr>
      <w:tabs>
        <w:tab w:val="clear" w:pos="720"/>
        <w:tab w:val="left" w:pos="1260" w:leader="none"/>
      </w:tabs>
      <w:ind w:hanging="1440" w:start="21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2001-11-01T12:53:00Z</dcterms:created>
  <dc:creator>bp</dc:creator>
  <dc:description/>
  <dc:language>en-CA</dc:language>
  <cp:lastModifiedBy>Digital Business Client User</cp:lastModifiedBy>
  <cp:lastPrinted>2001-11-01T09:59:00Z</cp:lastPrinted>
  <dcterms:modified xsi:type="dcterms:W3CDTF">2001-11-01T15:02:00Z</dcterms:modified>
  <cp:revision>7</cp:revision>
  <dc:subject/>
  <dc:title>NA Master</dc:title>
</cp:coreProperties>
</file>