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 2001, by and between, BP ENERGY COMPANY, a Delaware corporation, ("</w:t>
      </w:r>
      <w:r>
        <w:rPr>
          <w:rFonts w:cs="Arial Narrow" w:ascii="Arial Narrow" w:hAnsi="Arial Narrow"/>
          <w:sz w:val="18"/>
          <w:u w:val="single"/>
        </w:rPr>
        <w:t>BPE</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(BPE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BPE owns and operates a plant facility and related power plant facilities (the "</w:t>
      </w:r>
      <w:r>
        <w:rPr>
          <w:rFonts w:cs="Arial Narrow" w:ascii="Arial Narrow" w:hAnsi="Arial Narrow"/>
          <w:sz w:val="18"/>
          <w:u w:val="single"/>
        </w:rPr>
        <w:t>BPE Plant</w:t>
      </w:r>
      <w:r>
        <w:rPr>
          <w:rFonts w:cs="Arial Narrow" w:ascii="Arial Narrow" w:hAnsi="Arial Narrow"/>
          <w:sz w:val="18"/>
        </w:rPr>
        <w:t xml:space="preserve">") located in Galveston County, Texas; and </w:t>
      </w:r>
    </w:p>
    <w:p>
      <w:pPr>
        <w:pStyle w:val="Heading2"/>
        <w:widowControl/>
        <w:rPr/>
      </w:pPr>
      <w:r>
        <w:rPr>
          <w:rFonts w:cs="Arial Narrow" w:ascii="Arial Narrow" w:hAnsi="Arial Narrow"/>
          <w:sz w:val="18"/>
        </w:rPr>
        <w:tab/>
        <w:t>WHEREAS, HPL owns and operates an 18-inch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rFonts w:ascii="Arial Narrow" w:hAnsi="Arial Narrow" w:cs="Arial Narrow"/>
          <w:sz w:val="18"/>
        </w:rPr>
      </w:pPr>
      <w:r>
        <w:rPr>
          <w:rFonts w:cs="Arial Narrow" w:ascii="Arial Narrow" w:hAnsi="Arial Narrow"/>
          <w:sz w:val="18"/>
        </w:rPr>
        <w:tab/>
        <w:t xml:space="preserve">WHEREAS, BPE and HPL desire to install, own, and operate a natural gas meter station and associated piping located at and near HPL’s 18-inch pipeline located near the town of Texas City, in Galveston County, Texas to deliver natural gas from the HPL Pipeline to the BPE Plant. </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initially consist of a 12-inch orifice meter, which will be replaced with a 12-inch turbine meter at a mutually agreeable time, chromatograph, pressure control valves and associated equipment, over-pressure protection ("</w:t>
      </w:r>
      <w:r>
        <w:rPr>
          <w:rFonts w:cs="Arial Narrow" w:ascii="Arial Narrow" w:hAnsi="Arial Narrow"/>
          <w:sz w:val="18"/>
          <w:u w:val="single"/>
        </w:rPr>
        <w:t>OPP</w:t>
      </w:r>
      <w:r>
        <w:rPr>
          <w:rFonts w:cs="Arial Narrow" w:ascii="Arial Narrow" w:hAnsi="Arial Narrow"/>
          <w:sz w:val="18"/>
        </w:rPr>
        <w:t>"), EFM/SCADA, communication equipment and instrumentation, a tap and crossover piping and associated equipment required for the physical delivery of natural gas from the HPL Pipeline to the BPE Plant (the "</w:t>
      </w:r>
      <w:r>
        <w:rPr>
          <w:rFonts w:cs="Arial Narrow" w:ascii="Arial Narrow" w:hAnsi="Arial Narrow"/>
          <w:sz w:val="18"/>
          <w:u w:val="single"/>
        </w:rPr>
        <w:t>Interconnect</w:t>
      </w:r>
      <w:r>
        <w:rPr>
          <w:rFonts w:cs="Arial Narrow" w:ascii="Arial Narrow" w:hAnsi="Arial Narrow"/>
          <w:sz w:val="18"/>
        </w:rPr>
        <w:t>").  The Interconnect shall consist of the BPE Facilities, the HPL Operated Facilities and the HPL Facilities, as defined below. The layout of the Interconnect between the BPE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ownership change as defined in Section 5(i) below which shall include a </w:t>
      </w:r>
      <w:r>
        <w:rPr>
          <w:rFonts w:cs="Arial Narrow" w:ascii="Arial Narrow" w:hAnsi="Arial Narrow"/>
          <w:color w:val="000000"/>
          <w:sz w:val="18"/>
        </w:rPr>
        <w:t xml:space="preserve">hot tap on the 18-inch HPL Pipeline, </w:t>
      </w:r>
      <w:r>
        <w:rPr>
          <w:rFonts w:cs="Arial Narrow" w:ascii="Arial Narrow" w:hAnsi="Arial Narrow"/>
          <w:sz w:val="18"/>
        </w:rPr>
        <w:t>piping and valve up to the insulating flange designated as the point of ownership change as defined in Section 5(i) below and as shown on Exhibit “A” attached.</w:t>
      </w:r>
    </w:p>
    <w:p>
      <w:pPr>
        <w:pStyle w:val="Heading2"/>
        <w:widowControl/>
        <w:rPr/>
      </w:pPr>
      <w:r>
        <w:rPr>
          <w:rFonts w:cs="Arial Narrow" w:ascii="Arial Narrow" w:hAnsi="Arial Narrow"/>
          <w:sz w:val="18"/>
        </w:rPr>
        <w:tab/>
        <w:t>(ii)</w:t>
        <w:tab/>
      </w:r>
      <w:r>
        <w:rPr>
          <w:rFonts w:cs="Arial Narrow" w:ascii="Arial Narrow" w:hAnsi="Arial Narrow"/>
          <w:sz w:val="18"/>
          <w:u w:val="single"/>
        </w:rPr>
        <w:t>BPE Ownership</w:t>
      </w:r>
      <w:r>
        <w:rPr>
          <w:rFonts w:cs="Arial Narrow" w:ascii="Arial Narrow" w:hAnsi="Arial Narrow"/>
          <w:sz w:val="18"/>
        </w:rPr>
        <w:t xml:space="preserve">.  BPE shall own that portion of the Interconnect located between BPE's side of the insulating flange designated as the point of custody transfer and point of ownership change as defined in 5(i) below which shall include (i) a 12-inch uni-directional meter, chromatograph, EFM/SCADA, communication equipment and instrumentation, pressure control valves and associated equipment, OPP and instrumentation </w:t>
      </w:r>
      <w:r>
        <w:rPr>
          <w:rFonts w:cs="Arial Narrow" w:ascii="Arial Narrow" w:hAnsi="Arial Narrow"/>
          <w:color w:val="000000"/>
          <w:sz w:val="18"/>
        </w:rPr>
        <w:t>as shown on Exhibit "A" attached,</w:t>
      </w:r>
      <w:r>
        <w:rPr>
          <w:rFonts w:cs="Arial Narrow" w:ascii="Arial Narrow" w:hAnsi="Arial Narrow"/>
          <w:sz w:val="18"/>
        </w:rPr>
        <w:t xml:space="preserve"> (the "</w:t>
      </w:r>
      <w:r>
        <w:rPr>
          <w:rFonts w:cs="Arial Narrow" w:ascii="Arial Narrow" w:hAnsi="Arial Narrow"/>
          <w:sz w:val="18"/>
          <w:u w:val="single"/>
        </w:rPr>
        <w:t>HPL Operated Facilities</w:t>
      </w:r>
      <w:r>
        <w:rPr>
          <w:rFonts w:cs="Arial Narrow" w:ascii="Arial Narrow" w:hAnsi="Arial Narrow"/>
          <w:sz w:val="18"/>
        </w:rPr>
        <w:t>") and (ii) the tee, side valve, crossover piping and pipe related facilities located downstream of the insulating flange designated as the point of custody transfer as defined in Section 5(i) below and as shown on Exhibit “A” attached (the "</w:t>
      </w:r>
      <w:r>
        <w:rPr>
          <w:rFonts w:cs="Arial Narrow" w:ascii="Arial Narrow" w:hAnsi="Arial Narrow"/>
          <w:sz w:val="18"/>
          <w:u w:val="single"/>
        </w:rPr>
        <w:t>BPE</w:t>
      </w:r>
      <w:r>
        <w:rPr>
          <w:rFonts w:cs="Arial Narrow" w:ascii="Arial Narrow" w:hAnsi="Arial Narrow"/>
          <w:sz w:val="18"/>
        </w:rPr>
        <w:t xml:space="preserve"> </w:t>
      </w:r>
      <w:r>
        <w:rPr>
          <w:rFonts w:cs="Arial Narrow" w:ascii="Arial Narrow" w:hAnsi="Arial Narrow"/>
          <w:sz w:val="18"/>
          <w:u w:val="single"/>
        </w:rPr>
        <w:t>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and with sound and prudent natural gas industry practice. The BPE Facilities shall be designed, installed and constructed by BPE in accordance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BPE Plant.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BPE shall be solely responsible for all direct and indirect costs associated with the installation of the BPE Facilities.  BPE shall reimburse HPL for all direct and indirect costs, including income tax gross-up, associated with the design, installation, procurement, and construction of the HPL Facilities and HPL Operated Facilities.  HPL shall invoice BPE for such costs and BPE shall pay such invoice within 15 days of BPE’s receipt thereof.  Additionally, BPE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BPE flows less than 150,000 MMBTU through the Interconnect for such month.  At the time the meter is changed to a 12-inch turbine meter as contemplated at execution of this Agreement, such meter change shall be at BPE's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BPE shall obtain, at their sole cost and expense all clearances, permits, licenses, authorizations, easements and other land rights that may be needed for the construction, installation, maintenance, and operation of the BPE Facilities. HPL shall obtain, and BPE shall reimburse HPL for all direct and indirect costs associated with all clearances, permits, licenses, authorizations, easements and other land rights that may be needed for the construction, installation, maintenance, and operation of the HPL Facilities and HPL Operated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w:t>
      </w:r>
      <w:r>
        <w:rPr>
          <w:rFonts w:cs="Arial Narrow" w:ascii="Arial Narrow" w:hAnsi="Arial Narrow"/>
          <w:color w:val="000000"/>
          <w:sz w:val="18"/>
          <w:szCs w:val="18"/>
        </w:rPr>
        <w:t xml:space="preserve">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w:t>
      </w:r>
      <w:r>
        <w:rPr>
          <w:rFonts w:cs="Arial Narrow" w:ascii="Arial Narrow" w:hAnsi="Arial Narrow"/>
          <w:sz w:val="18"/>
        </w:rPr>
        <w:t xml:space="preserve">HPL shall operate and maintain or cause the operation and maintenance of the HPL Operated Facilities in accordance with the Standards and with sound and prudent natural gas pipeline industry practice and HPL shall invoice BPE on a monthly basis for all maintenance or capital expenditures performed by HPL on the HPL Operated Facilities for the previous month.  BPE shall pay such invoice within 15 days of its receipt thereof.  HPL shall notify BPE five (5) days prior to performing any scheduled maintenance or capital expenditures in excess of $10,000.00 for a single item for BPE's approval (except in the case of an emergency), which shall not be unreasonably withheld.  BPE </w:t>
      </w:r>
      <w:r>
        <w:rPr>
          <w:rFonts w:cs="Arial Narrow" w:ascii="Arial Narrow" w:hAnsi="Arial Narrow"/>
          <w:color w:val="000000"/>
          <w:sz w:val="18"/>
          <w:szCs w:val="18"/>
        </w:rPr>
        <w:t xml:space="preserve">shall operate and maintain the </w:t>
      </w:r>
      <w:r>
        <w:rPr>
          <w:rFonts w:cs="Arial Narrow" w:ascii="Arial Narrow" w:hAnsi="Arial Narrow"/>
          <w:sz w:val="18"/>
        </w:rPr>
        <w:t xml:space="preserve">BPE </w:t>
      </w:r>
      <w:r>
        <w:rPr>
          <w:rFonts w:cs="Arial Narrow" w:ascii="Arial Narrow" w:hAnsi="Arial Narrow"/>
          <w:color w:val="000000"/>
          <w:sz w:val="18"/>
          <w:szCs w:val="18"/>
        </w:rPr>
        <w:t xml:space="preserve">Facilities in accordance with sound and prudent natural gas industry practice and shall be fully responsible for the routine operation and maintenance thereof and for all cost and expense associated therewith.  </w:t>
      </w:r>
      <w:r>
        <w:rPr>
          <w:rFonts w:cs="Arial Narrow" w:ascii="Arial Narrow" w:hAnsi="Arial Narrow"/>
          <w:sz w:val="18"/>
        </w:rPr>
        <w:t xml:space="preserve">BPE </w:t>
      </w:r>
      <w:r>
        <w:rPr>
          <w:rFonts w:cs="Arial Narrow" w:ascii="Arial Narrow" w:hAnsi="Arial Narrow"/>
          <w:color w:val="000000"/>
          <w:sz w:val="18"/>
          <w:szCs w:val="18"/>
        </w:rPr>
        <w:t xml:space="preserve">shall be responsible for any Meter Fee assessed, as defined in Section 3 above, and for the electric power and phone service,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BPE Facilities and the HPL Operated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Operated Facilities by HPL or its designee shall include operation of the 12-inch meter (the "</w:t>
      </w:r>
      <w:r>
        <w:rPr>
          <w:rFonts w:cs="Arial Narrow" w:ascii="Arial Narrow" w:hAnsi="Arial Narrow"/>
          <w:sz w:val="18"/>
          <w:u w:val="single"/>
        </w:rPr>
        <w:t>Meter</w:t>
      </w:r>
      <w:r>
        <w:rPr>
          <w:rFonts w:cs="Arial Narrow" w:ascii="Arial Narrow" w:hAnsi="Arial Narrow"/>
          <w:sz w:val="18"/>
        </w:rPr>
        <w:t>") and HPL shall give BPE twenty-four hour operational notice to HPL prior to any testing or calibrating of the Meter.  BPE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BPE and BPE is not present at the time specified, then HPL may proceed with the tests as though BPE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Cs/>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BPE Plant at pressures existing from time to time in the HPL Pipeline.  The BPE Facilities shall include OPP equipment which shall be set at a pressure not to exceed the MAOP of the HPL Pipeline and to protect the BPE Plant.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pressure and pulsation control or any other provision which could impact the operation and safety of the HPL Pipeline, the HPL Facilities, The HPL Operated Facilities, the BPE Facilities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BPE.  The costs of such odorization shall be borne solely by BPE.</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twelve (12) years and month to month thereafter.  Either Party may terminate this Agreement at the end of the initial twelve-year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BPE:</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BP Energy Company</w:t>
      </w:r>
    </w:p>
    <w:p>
      <w:pPr>
        <w:pStyle w:val="Normal"/>
        <w:widowControl/>
        <w:rPr>
          <w:rFonts w:ascii="Arial Narrow" w:hAnsi="Arial Narrow" w:cs="Arial Narrow"/>
          <w:sz w:val="18"/>
        </w:rPr>
      </w:pPr>
      <w:r>
        <w:rPr>
          <w:rFonts w:cs="Arial Narrow" w:ascii="Arial Narrow" w:hAnsi="Arial Narrow"/>
          <w:sz w:val="18"/>
        </w:rPr>
        <w:t>1400 Smith St.</w:t>
        <w:tab/>
        <w:tab/>
        <w:tab/>
        <w:t>Attn: 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501 WestLake Park Blvd.</w:t>
      </w:r>
    </w:p>
    <w:p>
      <w:pPr>
        <w:pStyle w:val="Normal"/>
        <w:widowControl/>
        <w:rPr>
          <w:rFonts w:ascii="Arial Narrow" w:hAnsi="Arial Narrow" w:cs="Arial Narrow"/>
          <w:sz w:val="18"/>
        </w:rPr>
      </w:pPr>
      <w:r>
        <w:rPr>
          <w:rFonts w:cs="Arial Narrow" w:ascii="Arial Narrow" w:hAnsi="Arial Narrow"/>
          <w:sz w:val="18"/>
        </w:rPr>
        <w:t>Attention:  Natural Gas Assets</w:t>
        <w:tab/>
        <w:tab/>
        <w:t>Houston, Texas 77079</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(___) _________</w:t>
      </w:r>
    </w:p>
    <w:p>
      <w:pPr>
        <w:pStyle w:val="Normal"/>
        <w:widowControl/>
        <w:ind w:firstLine="720" w:start="2160" w:end="0"/>
        <w:rPr>
          <w:rFonts w:ascii="Arial Narrow" w:hAnsi="Arial Narrow" w:cs="Arial Narrow"/>
          <w:sz w:val="18"/>
        </w:rPr>
      </w:pPr>
      <w:r>
        <w:rPr>
          <w:rFonts w:cs="Arial Narrow" w:ascii="Arial Narrow" w:hAnsi="Arial Narrow"/>
          <w:sz w:val="18"/>
        </w:rPr>
        <w:t>Phone Number: (___) 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BP Energy Company</w:t>
      </w:r>
    </w:p>
    <w:p>
      <w:pPr>
        <w:pStyle w:val="Normal"/>
        <w:widowControl/>
        <w:rPr/>
      </w:pPr>
      <w:r>
        <w:rPr>
          <w:rFonts w:cs="Arial Narrow" w:ascii="Arial Narrow" w:hAnsi="Arial Narrow"/>
          <w:b/>
          <w:sz w:val="18"/>
        </w:rPr>
        <w:tab/>
        <w:tab/>
        <w:tab/>
        <w:tab/>
      </w:r>
      <w:r>
        <w:rPr>
          <w:rFonts w:cs="Arial Narrow" w:ascii="Arial Narrow" w:hAnsi="Arial Narrow"/>
          <w:sz w:val="18"/>
        </w:rPr>
        <w:t>Attn: ________________</w:t>
      </w:r>
    </w:p>
    <w:p>
      <w:pPr>
        <w:pStyle w:val="Normal"/>
        <w:widowControl/>
        <w:rPr>
          <w:rFonts w:ascii="Arial Narrow" w:hAnsi="Arial Narrow" w:cs="Arial Narrow"/>
          <w:sz w:val="18"/>
        </w:rPr>
      </w:pPr>
      <w:r>
        <w:rPr>
          <w:rFonts w:cs="Arial Narrow" w:ascii="Arial Narrow" w:hAnsi="Arial Narrow"/>
          <w:sz w:val="18"/>
        </w:rPr>
        <w:tab/>
        <w:tab/>
        <w:tab/>
        <w:tab/>
        <w:t>501 WestLake Park Blvd.</w:t>
      </w:r>
    </w:p>
    <w:p>
      <w:pPr>
        <w:pStyle w:val="Normal"/>
        <w:widowControl/>
        <w:rPr>
          <w:rFonts w:ascii="Arial Narrow" w:hAnsi="Arial Narrow" w:cs="Arial Narrow"/>
          <w:sz w:val="18"/>
        </w:rPr>
      </w:pPr>
      <w:r>
        <w:rPr>
          <w:rFonts w:cs="Arial Narrow" w:ascii="Arial Narrow" w:hAnsi="Arial Narrow"/>
          <w:sz w:val="18"/>
        </w:rPr>
        <w:tab/>
        <w:tab/>
        <w:tab/>
        <w:tab/>
        <w:t>Houston, Texas 77079</w:t>
      </w:r>
    </w:p>
    <w:p>
      <w:pPr>
        <w:pStyle w:val="Normal"/>
        <w:widowControl/>
        <w:rPr>
          <w:rFonts w:ascii="Arial Narrow" w:hAnsi="Arial Narrow" w:cs="Arial Narrow"/>
          <w:sz w:val="18"/>
        </w:rPr>
      </w:pPr>
      <w:r>
        <w:rPr>
          <w:rFonts w:cs="Arial Narrow" w:ascii="Arial Narrow" w:hAnsi="Arial Narrow"/>
          <w:sz w:val="18"/>
        </w:rPr>
        <w:tab/>
        <w:tab/>
        <w:tab/>
        <w:tab/>
        <w:t>Facsimile Number: (___) 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BP ENERGY COMPANY</w:t>
        <w:tab/>
        <w:tab/>
        <w:tab/>
        <w:tab/>
      </w:r>
      <w:r>
        <w:rPr>
          <w:rFonts w:cs="Arial Narrow" w:ascii="Arial Narrow" w:hAnsi="Arial Narrow"/>
          <w:sz w:val="18"/>
        </w:rPr>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BP_Energy_ICA.doc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2001-04-27T18:07:00Z</dcterms:created>
  <dc:creator>ECT</dc:creator>
  <dc:description/>
  <dc:language>en-CA</dc:language>
  <cp:lastModifiedBy>egillas</cp:lastModifiedBy>
  <cp:lastPrinted>2001-04-30T14:10:00Z</cp:lastPrinted>
  <dcterms:modified xsi:type="dcterms:W3CDTF">2001-04-30T17:05:00Z</dcterms:modified>
  <cp:revision>19</cp:revision>
  <dc:subject/>
  <dc:title>Letter format</dc:title>
</cp:coreProperties>
</file>