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EXHIBIT A</w:t>
      </w:r>
    </w:p>
    <w:p>
      <w:pPr>
        <w:pStyle w:val="Normal"/>
        <w:jc w:val="center"/>
        <w:rPr>
          <w:b/>
          <w:bCs/>
        </w:rPr>
      </w:pPr>
      <w:r>
        <w:rPr>
          <w:b/>
          <w:bCs/>
        </w:rPr>
      </w:r>
    </w:p>
    <w:p>
      <w:pPr>
        <w:pStyle w:val="Normal"/>
        <w:jc w:val="center"/>
        <w:rPr>
          <w:b/>
          <w:bCs/>
        </w:rPr>
      </w:pPr>
      <w:r>
        <w:rPr>
          <w:b/>
          <w:bCs/>
        </w:rPr>
        <w:t>to North American Master Netting Agreement dated October 26, 2001</w:t>
      </w:r>
    </w:p>
    <w:p>
      <w:pPr>
        <w:pStyle w:val="Normal"/>
        <w:rPr>
          <w:b/>
          <w:bCs/>
        </w:rPr>
      </w:pPr>
      <w:r>
        <w:rPr>
          <w:b/>
          <w:bCs/>
        </w:rPr>
      </w:r>
    </w:p>
    <w:p>
      <w:pPr>
        <w:pStyle w:val="Normal"/>
        <w:rPr/>
      </w:pPr>
      <w:r>
        <w:rPr>
          <w:u w:val="single"/>
        </w:rPr>
        <w:t>Non-Exclusive List of Underlying Master Agreements</w:t>
      </w:r>
      <w:r>
        <w:rPr/>
        <w:t>:</w:t>
      </w:r>
    </w:p>
    <w:p>
      <w:pPr>
        <w:pStyle w:val="Normal"/>
        <w:rPr/>
      </w:pPr>
      <w:r>
        <w:rPr/>
      </w:r>
    </w:p>
    <w:p>
      <w:pPr>
        <w:pStyle w:val="Normal"/>
        <w:autoSpaceDE w:val="false"/>
        <w:rPr>
          <w:rFonts w:ascii="Arial" w:hAnsi="Arial" w:cs="Arial"/>
          <w:sz w:val="20"/>
          <w:szCs w:val="20"/>
        </w:rPr>
      </w:pPr>
      <w:r>
        <w:rPr>
          <w:rFonts w:cs="Arial" w:ascii="Arial" w:hAnsi="Arial"/>
          <w:sz w:val="20"/>
          <w:szCs w:val="20"/>
        </w:rPr>
        <w:t>Base Contract for Short-Term Sale and Purchase and Natural Gas [GISB Form] dated December 1, 1997 with Cibola Energy Services Corporation and Enron North America Corp.</w:t>
      </w:r>
    </w:p>
    <w:p>
      <w:pPr>
        <w:pStyle w:val="Normal"/>
        <w:autoSpaceDE w:val="false"/>
        <w:rPr>
          <w:rFonts w:ascii="Arial" w:hAnsi="Arial" w:cs="Arial"/>
          <w:sz w:val="20"/>
          <w:szCs w:val="20"/>
        </w:rPr>
      </w:pPr>
      <w:r>
        <w:rPr>
          <w:rFonts w:cs="Arial" w:ascii="Arial" w:hAnsi="Arial"/>
          <w:sz w:val="20"/>
          <w:szCs w:val="20"/>
        </w:rPr>
      </w:r>
    </w:p>
    <w:p>
      <w:pPr>
        <w:pStyle w:val="BodyText"/>
        <w:ind w:start="0" w:end="0"/>
        <w:rPr>
          <w:rFonts w:ascii="Arial" w:hAnsi="Arial" w:cs="Arial"/>
        </w:rPr>
      </w:pPr>
      <w:r>
        <w:rPr>
          <w:rFonts w:eastAsia="Arial" w:cs="Arial" w:ascii="Arial" w:hAnsi="Arial"/>
        </w:rPr>
        <w:t xml:space="preserve"> </w:t>
      </w:r>
      <w:r>
        <w:rPr>
          <w:rFonts w:cs="Arial" w:ascii="Arial" w:hAnsi="Arial"/>
        </w:rPr>
        <w:t>“</w:t>
      </w:r>
      <w:r>
        <w:rPr>
          <w:rFonts w:cs="Arial" w:ascii="Arial" w:hAnsi="Arial"/>
        </w:rPr>
        <w:t>Enfolio Master “Spot” Purchase/Sale Agreement II” between Enron Capital &amp; Trade Resources Corp. (now Enron North America Corp.) and Amoco Canada Marketing Corp. (now BP Canada Energy Marketing Corp.) dated October 1, 1994</w:t>
      </w:r>
    </w:p>
    <w:p>
      <w:pPr>
        <w:pStyle w:val="BodyText"/>
        <w:ind w:start="0" w:end="0"/>
        <w:rPr>
          <w:rFonts w:ascii="Arial" w:hAnsi="Arial" w:cs="Arial"/>
        </w:rPr>
      </w:pPr>
      <w:r>
        <w:rPr>
          <w:rFonts w:cs="Arial" w:ascii="Arial" w:hAnsi="Arial"/>
        </w:rPr>
        <w:t>“</w:t>
      </w:r>
      <w:r>
        <w:rPr>
          <w:rFonts w:cs="Arial" w:ascii="Arial" w:hAnsi="Arial"/>
        </w:rPr>
        <w:t>Enfolio Master “Spot” Purchase/Sale Agreement II” between Enron Capital &amp; Trade Resources Corp. (now Enron North America Corp.) and Amoco Canada Petroleum Company, Ltd. (now BP Canada Energy Company) dated September 1, 1994.</w:t>
      </w:r>
    </w:p>
    <w:p>
      <w:pPr>
        <w:pStyle w:val="BodyText"/>
        <w:ind w:start="0" w:end="0"/>
        <w:rPr>
          <w:rFonts w:ascii="Arial" w:hAnsi="Arial" w:cs="Arial"/>
        </w:rPr>
      </w:pPr>
      <w:r>
        <w:rPr>
          <w:rFonts w:cs="Arial" w:ascii="Arial" w:hAnsi="Arial"/>
        </w:rPr>
        <w:t>“</w:t>
      </w:r>
      <w:r>
        <w:rPr>
          <w:rFonts w:cs="Arial" w:ascii="Arial" w:hAnsi="Arial"/>
        </w:rPr>
        <w:t xml:space="preserve">Master Firm Gas Purchase/Sale Agreement” between Enron Gas Marketing Canada Inc. (now Enron Canada Corp.) and Amoco Canada Petroleum Company Ltd. (now BP Canada Energy Company) executed June 30, 1993 </w:t>
      </w:r>
    </w:p>
    <w:p>
      <w:pPr>
        <w:pStyle w:val="BodyText"/>
        <w:ind w:start="0" w:end="0"/>
        <w:rPr>
          <w:rFonts w:ascii="Arial" w:hAnsi="Arial" w:cs="Arial"/>
        </w:rPr>
      </w:pPr>
      <w:r>
        <w:rPr>
          <w:rFonts w:eastAsia="Arial" w:cs="Arial" w:ascii="Arial" w:hAnsi="Arial"/>
        </w:rPr>
        <w:t xml:space="preserve"> </w:t>
      </w:r>
      <w:r>
        <w:rPr>
          <w:rFonts w:cs="Arial" w:ascii="Arial" w:hAnsi="Arial"/>
        </w:rPr>
        <w:t>“</w:t>
      </w:r>
      <w:r>
        <w:rPr>
          <w:rFonts w:cs="Arial" w:ascii="Arial" w:hAnsi="Arial"/>
        </w:rPr>
        <w:t>Enfolio Master Firm Purchase/Sale Agreement II” between Enron Energy Services, Inc. and TransCanada Energy Marketing USA, Inc. (now Cibola Energy Services Corporation) dated March 1, 2001</w:t>
      </w:r>
    </w:p>
    <w:p>
      <w:pPr>
        <w:pStyle w:val="BodyText"/>
        <w:ind w:start="0" w:end="0"/>
        <w:rPr>
          <w:rFonts w:ascii="Arial" w:hAnsi="Arial" w:cs="Arial"/>
        </w:rPr>
      </w:pPr>
      <w:r>
        <w:rPr>
          <w:rFonts w:cs="Arial" w:ascii="Arial" w:hAnsi="Arial"/>
        </w:rPr>
        <w:t>“</w:t>
      </w:r>
      <w:r>
        <w:rPr>
          <w:rFonts w:cs="Arial" w:ascii="Arial" w:hAnsi="Arial"/>
        </w:rPr>
        <w:t>Firm Gas Purchase/Sale Agreement (for Transactions of 31 days of fewer)” between Enron Gas Services Canada Corp. (now Enron Canada Corp.) and Amoco Canada Petroleum Company Ltd. (now BP Canada Energy Company) dated August 1, 1994.</w:t>
      </w:r>
    </w:p>
    <w:p>
      <w:pPr>
        <w:pStyle w:val="Normal"/>
        <w:autoSpaceDE w:val="false"/>
        <w:rPr>
          <w:rFonts w:ascii="Arial" w:hAnsi="Arial" w:cs="Arial"/>
          <w:sz w:val="20"/>
          <w:szCs w:val="20"/>
        </w:rPr>
      </w:pPr>
      <w:r>
        <w:rPr>
          <w:rFonts w:cs="Arial" w:ascii="Arial" w:hAnsi="Arial"/>
          <w:sz w:val="20"/>
          <w:szCs w:val="20"/>
        </w:rPr>
        <w:t>PENDING Base Contract for Short-Term Sale and Purchase and Natural Gas [GISB Form] dated September 1, 2001 with BP Canada Energy Marketing Corp. and Enron Energy Services Inc. (effective for purposes of this Exhibit A if, and only if, subsequently executed by both parties)</w:t>
      </w:r>
    </w:p>
    <w:p>
      <w:pPr>
        <w:pStyle w:val="BodyText"/>
        <w:spacing w:before="0" w:after="220"/>
        <w:ind w:start="0" w:end="0"/>
        <w:rPr>
          <w:rFonts w:ascii="Arial" w:hAnsi="Arial" w:cs="Arial"/>
          <w:sz w:val="20"/>
          <w:szCs w:val="20"/>
        </w:rPr>
      </w:pPr>
      <w:r>
        <w:rPr>
          <w:rFonts w:cs="Arial" w:ascii="Arial" w:hAnsi="Arial"/>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1z1">
    <w:name w:val="WW8Num1z1"/>
    <w:qFormat/>
    <w:rPr>
      <w:rFonts w:ascii="Symbol" w:hAnsi="Symbol" w:eastAsia="Times New Roman"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35" w:end="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2001-10-31T10:16:00Z</dcterms:created>
  <dc:creator>Digital Business Client User</dc:creator>
  <dc:description/>
  <dc:language>en-CA</dc:language>
  <cp:lastModifiedBy>Digital Business Client User</cp:lastModifiedBy>
  <cp:lastPrinted>2001-10-26T09:37:00Z</cp:lastPrinted>
  <dcterms:modified xsi:type="dcterms:W3CDTF">2001-11-01T13:52:00Z</dcterms:modified>
  <cp:revision>4</cp:revision>
  <dc:subject/>
  <dc:title>EXHIBIT A</dc:title>
</cp:coreProperties>
</file>