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April ___,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 xml:space="preserve">Public Utilities Board of </w:t>
      </w:r>
    </w:p>
    <w:p>
      <w:pPr>
        <w:pStyle w:val="Normal"/>
        <w:jc w:val="both"/>
        <w:rPr>
          <w:sz w:val="22"/>
        </w:rPr>
      </w:pPr>
      <w:r>
        <w:rPr>
          <w:sz w:val="22"/>
        </w:rPr>
        <w:t>The City of Brownsville, Texas</w:t>
      </w:r>
    </w:p>
    <w:p>
      <w:pPr>
        <w:pStyle w:val="Normal"/>
        <w:jc w:val="both"/>
        <w:rPr>
          <w:sz w:val="22"/>
        </w:rPr>
      </w:pPr>
      <w:r>
        <w:rPr>
          <w:sz w:val="22"/>
        </w:rPr>
        <w:t xml:space="preserve">Attn.:  </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the Public Utilities Board of the City of Brownsville, Texas, an agency of the City of Brownsville, Texas, a municipal corporation (“BPUB”) and Enron North America Corp., a Delaware corporation (“ENA”), to evaluate ENA’s and BPUB’s possible participation in a base load power generation project in Cameron County, Texas (the “Site). BPUB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goods and services comprising the Project.  Any such binding agreement will only arise upon the negotiation, execution and delivery of mutually satisfactory definitive agreements and the satisfaction of the conditions set forth therein, including the approval of such agreements and the Project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Project</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Project and the necessary agreements relating thereto. ENA and BPUB may conduct a due diligence investigation regarding the Project.  It is understood that ENA and BPUB are not, by virtue of this agreement, undertaking any liability with regard to the Project;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 xml:space="preserve">Neither Party is obligated hereunder to enter into any definitive agreement with the other, with respect to the Project.  </w:t>
      </w:r>
      <w:r>
        <w:rPr>
          <w:sz w:val="24"/>
        </w:rPr>
        <w:t>It is currently anticipated, however, that any such definitive agreement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The Parties shall jointly develop a tentative project development schedule to conduct a feasibility study and to establish certain milestones to be achieved and a schedule for their achievement, and related matters.  The Parties will jointly conduct due diligence, including the identification and possible optioning of site(s), determination of appropriate power generation technologies, identification of required permits, initial consideration of engineering, procurement and construction contractors, determination of appropriate fuel type and source, and the creation of a project development and construction schedule.</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until such time that it becomes clear to either Party that the BPUB/ENA joint development effort will not be economically viable or otherwise successful, or (ii) December 31</w:t>
      </w:r>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ENA in undertaking its due diligence review of the Project, BPUB hereby grants to ENA the exclusive right to pursue the Project with BPUB during the Term.  During the Term and without prior written consent of the other Party, (a) BPUB shall not work with other persons with regard to any development of the Project; and (b) ENA shall not work with third persons to the exclusion of BPUB on any project that is to be located on the Site and is similar to the Project. The foregoing exclusivity provision shall not restrict or prohibit either Party from pursuing with third persons arrangements similar to the Project on sites other than the Site, and it also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sz w:val="22"/>
        </w:rPr>
      </w:pPr>
      <w:r>
        <w:rPr>
          <w:sz w:val="22"/>
        </w:rPr>
        <w:t>3.</w:t>
      </w:r>
      <w:r>
        <w:rPr>
          <w:b/>
          <w:sz w:val="22"/>
        </w:rPr>
        <w:tab/>
        <w:t xml:space="preserve">Confidentiality.  </w:t>
      </w:r>
      <w:r>
        <w:rPr>
          <w:bCs/>
          <w:sz w:val="22"/>
        </w:rPr>
        <w:t>This Agreement does not supercede or modify the Confidentiality Agreement signed by the Parties on April __, 2001, which remains in full force and effect.</w:t>
      </w:r>
    </w:p>
    <w:p>
      <w:pPr>
        <w:pStyle w:val="Normal"/>
        <w:jc w:val="both"/>
        <w:rPr>
          <w:sz w:val="22"/>
        </w:rPr>
      </w:pPr>
      <w:r>
        <w:rPr>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bCs/>
          <w:sz w:val="22"/>
        </w:rPr>
        <w:t xml:space="preserve">Within thirty days of the execution of this Agreement, ENA will pay BPUB a one time consulting fee of $10,000.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Project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ENA NOR BPUB,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____:</w:t>
      </w:r>
    </w:p>
    <w:p>
      <w:pPr>
        <w:pStyle w:val="Normal"/>
        <w:keepNext w:val="true"/>
        <w:keepLines/>
        <w:jc w:val="both"/>
        <w:rPr>
          <w:b/>
          <w:sz w:val="22"/>
        </w:rPr>
      </w:pPr>
      <w:r>
        <w:rPr>
          <w:b/>
          <w:sz w:val="22"/>
        </w:rPr>
      </w:r>
    </w:p>
    <w:p>
      <w:pPr>
        <w:pStyle w:val="Heading1"/>
        <w:ind w:hanging="0" w:start="0"/>
        <w:rPr/>
      </w:pPr>
      <w:r>
        <w:rPr/>
        <w:t>PUBLIC UTILITIES BOARD OF BROWNSVILLE</w:t>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2"/>
        <w:ind w:hanging="0" w:start="0"/>
        <w:rPr/>
      </w:pPr>
      <w:r>
        <w:rPr/>
        <w:t>PRELIMINARY TERM SHEET</w:t>
      </w:r>
    </w:p>
    <w:p>
      <w:pPr>
        <w:pStyle w:val="Normal"/>
        <w:jc w:val="center"/>
        <w:rPr>
          <w:b/>
          <w:bCs/>
          <w:sz w:val="24"/>
        </w:rPr>
      </w:pPr>
      <w:r>
        <w:rPr>
          <w:b/>
          <w:bCs/>
          <w:sz w:val="24"/>
        </w:rPr>
      </w:r>
    </w:p>
    <w:p>
      <w:pPr>
        <w:pStyle w:val="Normal"/>
        <w:jc w:val="center"/>
        <w:rPr>
          <w:b/>
          <w:bCs/>
          <w:sz w:val="24"/>
        </w:rPr>
      </w:pPr>
      <w:r>
        <w:rPr>
          <w:b/>
          <w:bCs/>
          <w:sz w:val="24"/>
        </w:rPr>
      </w:r>
    </w:p>
    <w:p>
      <w:pPr>
        <w:pStyle w:val="Normal"/>
        <w:rPr>
          <w:b/>
          <w:bCs/>
          <w:sz w:val="24"/>
        </w:rPr>
      </w:pPr>
      <w:r>
        <w:rPr>
          <w:b/>
          <w:bCs/>
          <w:sz w:val="24"/>
        </w:rPr>
      </w:r>
    </w:p>
    <w:tbl>
      <w:tblPr>
        <w:tblW w:w="9864" w:type="dxa"/>
        <w:jc w:val="start"/>
        <w:tblInd w:w="0" w:type="dxa"/>
        <w:tblLayout w:type="fixed"/>
        <w:tblCellMar>
          <w:top w:w="0" w:type="dxa"/>
          <w:start w:w="108" w:type="dxa"/>
          <w:bottom w:w="0" w:type="dxa"/>
          <w:end w:w="108" w:type="dxa"/>
        </w:tblCellMar>
      </w:tblPr>
      <w:tblGrid>
        <w:gridCol w:w="3348"/>
        <w:gridCol w:w="6516"/>
      </w:tblGrid>
      <w:tr>
        <w:trPr/>
        <w:tc>
          <w:tcPr>
            <w:tcW w:w="3348" w:type="dxa"/>
            <w:tcBorders/>
          </w:tcPr>
          <w:p>
            <w:pPr>
              <w:pStyle w:val="Heading3"/>
              <w:ind w:hanging="0" w:start="0"/>
              <w:rPr/>
            </w:pPr>
            <w:r>
              <w:rPr/>
              <w:t>Overview of the Project</w:t>
            </w:r>
          </w:p>
        </w:tc>
        <w:tc>
          <w:tcPr>
            <w:tcW w:w="6516" w:type="dxa"/>
            <w:tcBorders/>
          </w:tcPr>
          <w:p>
            <w:pPr>
              <w:pStyle w:val="Normal"/>
              <w:rPr>
                <w:b/>
                <w:bCs/>
                <w:sz w:val="24"/>
              </w:rPr>
            </w:pPr>
            <w:r>
              <w:rPr>
                <w:b/>
                <w:bCs/>
                <w:sz w:val="24"/>
              </w:rPr>
              <w:t>Base load power generation project to be located in Cameron County, Texas (“the Facility”).</w:t>
            </w:r>
          </w:p>
        </w:tc>
      </w:tr>
      <w:tr>
        <w:trPr/>
        <w:tc>
          <w:tcPr>
            <w:tcW w:w="3348" w:type="dxa"/>
            <w:tcBorders/>
          </w:tcPr>
          <w:p>
            <w:pPr>
              <w:pStyle w:val="Normal"/>
              <w:snapToGrid w:val="false"/>
              <w:rPr>
                <w:b/>
                <w:bCs/>
                <w:sz w:val="24"/>
              </w:rPr>
            </w:pPr>
            <w:r>
              <w:rPr>
                <w:b/>
                <w:bCs/>
                <w:sz w:val="24"/>
              </w:rPr>
            </w:r>
          </w:p>
        </w:tc>
        <w:tc>
          <w:tcPr>
            <w:tcW w:w="6516" w:type="dxa"/>
            <w:tcBorders/>
          </w:tcPr>
          <w:p>
            <w:pPr>
              <w:pStyle w:val="Normal"/>
              <w:snapToGrid w:val="false"/>
              <w:rPr>
                <w:b/>
                <w:bCs/>
                <w:sz w:val="24"/>
              </w:rPr>
            </w:pPr>
            <w:r>
              <w:rPr>
                <w:b/>
                <w:bCs/>
                <w:sz w:val="24"/>
              </w:rPr>
            </w:r>
          </w:p>
        </w:tc>
      </w:tr>
      <w:tr>
        <w:trPr/>
        <w:tc>
          <w:tcPr>
            <w:tcW w:w="3348" w:type="dxa"/>
            <w:tcBorders/>
          </w:tcPr>
          <w:p>
            <w:pPr>
              <w:pStyle w:val="Normal"/>
              <w:rPr>
                <w:b/>
                <w:bCs/>
                <w:sz w:val="24"/>
              </w:rPr>
            </w:pPr>
            <w:r>
              <w:rPr>
                <w:b/>
                <w:bCs/>
                <w:sz w:val="24"/>
              </w:rPr>
              <w:t>ENA’s Scope</w:t>
            </w:r>
          </w:p>
        </w:tc>
        <w:tc>
          <w:tcPr>
            <w:tcW w:w="6516" w:type="dxa"/>
            <w:tcBorders/>
          </w:tcPr>
          <w:p>
            <w:pPr>
              <w:pStyle w:val="Normal"/>
              <w:jc w:val="both"/>
              <w:rPr>
                <w:b/>
                <w:bCs/>
                <w:sz w:val="24"/>
              </w:rPr>
            </w:pPr>
            <w:r>
              <w:rPr>
                <w:b/>
                <w:bCs/>
                <w:sz w:val="24"/>
              </w:rPr>
              <w:t>ENA shall be primarily responsible for the development of the project. ENA shall determine the preferred location for the Facility, and advise BPUB.  ENA shall be responsible for the cost associated with site acquisition.</w:t>
            </w:r>
          </w:p>
        </w:tc>
      </w:tr>
      <w:tr>
        <w:trPr/>
        <w:tc>
          <w:tcPr>
            <w:tcW w:w="3348" w:type="dxa"/>
            <w:tcBorders/>
          </w:tcPr>
          <w:p>
            <w:pPr>
              <w:pStyle w:val="Normal"/>
              <w:snapToGrid w:val="false"/>
              <w:rPr>
                <w:b/>
                <w:bCs/>
                <w:sz w:val="24"/>
              </w:rPr>
            </w:pPr>
            <w:r>
              <w:rPr>
                <w:b/>
                <w:bCs/>
                <w:sz w:val="24"/>
              </w:rPr>
            </w:r>
          </w:p>
        </w:tc>
        <w:tc>
          <w:tcPr>
            <w:tcW w:w="6516" w:type="dxa"/>
            <w:tcBorders/>
          </w:tcPr>
          <w:p>
            <w:pPr>
              <w:pStyle w:val="Normal"/>
              <w:snapToGrid w:val="false"/>
              <w:rPr>
                <w:b/>
                <w:bCs/>
                <w:sz w:val="24"/>
              </w:rPr>
            </w:pPr>
            <w:r>
              <w:rPr>
                <w:b/>
                <w:bCs/>
                <w:sz w:val="24"/>
              </w:rPr>
            </w:r>
          </w:p>
        </w:tc>
      </w:tr>
      <w:tr>
        <w:trPr/>
        <w:tc>
          <w:tcPr>
            <w:tcW w:w="3348" w:type="dxa"/>
            <w:tcBorders/>
          </w:tcPr>
          <w:p>
            <w:pPr>
              <w:pStyle w:val="Normal"/>
              <w:rPr>
                <w:b/>
                <w:bCs/>
                <w:sz w:val="24"/>
              </w:rPr>
            </w:pPr>
            <w:r>
              <w:rPr>
                <w:b/>
                <w:bCs/>
                <w:sz w:val="24"/>
              </w:rPr>
              <w:t>BPUB’s Scope</w:t>
            </w:r>
          </w:p>
        </w:tc>
        <w:tc>
          <w:tcPr>
            <w:tcW w:w="6516" w:type="dxa"/>
            <w:tcBorders/>
          </w:tcPr>
          <w:p>
            <w:pPr>
              <w:pStyle w:val="Normal"/>
              <w:jc w:val="both"/>
              <w:rPr>
                <w:b/>
                <w:bCs/>
                <w:sz w:val="24"/>
              </w:rPr>
            </w:pPr>
            <w:r>
              <w:rPr>
                <w:b/>
                <w:bCs/>
                <w:sz w:val="24"/>
              </w:rPr>
              <w:t>BPUB  shall assist with project development activities. Following selection of the appropriate site, BPUB will obtain in its own name rights to the site, which rights will later be conveyed to ENA or its designee.</w:t>
            </w:r>
          </w:p>
        </w:tc>
      </w:tr>
      <w:tr>
        <w:trPr/>
        <w:tc>
          <w:tcPr>
            <w:tcW w:w="3348" w:type="dxa"/>
            <w:tcBorders/>
          </w:tcPr>
          <w:p>
            <w:pPr>
              <w:pStyle w:val="Normal"/>
              <w:snapToGrid w:val="false"/>
              <w:rPr>
                <w:b/>
                <w:bCs/>
                <w:sz w:val="24"/>
              </w:rPr>
            </w:pPr>
            <w:r>
              <w:rPr>
                <w:b/>
                <w:bCs/>
                <w:sz w:val="24"/>
              </w:rPr>
            </w:r>
          </w:p>
        </w:tc>
        <w:tc>
          <w:tcPr>
            <w:tcW w:w="6516" w:type="dxa"/>
            <w:tcBorders/>
          </w:tcPr>
          <w:p>
            <w:pPr>
              <w:pStyle w:val="Normal"/>
              <w:snapToGrid w:val="false"/>
              <w:rPr>
                <w:b/>
                <w:bCs/>
                <w:sz w:val="24"/>
              </w:rPr>
            </w:pPr>
            <w:r>
              <w:rPr>
                <w:b/>
                <w:bCs/>
                <w:sz w:val="24"/>
              </w:rPr>
            </w:r>
          </w:p>
        </w:tc>
      </w:tr>
      <w:tr>
        <w:trPr/>
        <w:tc>
          <w:tcPr>
            <w:tcW w:w="3348" w:type="dxa"/>
            <w:tcBorders/>
          </w:tcPr>
          <w:p>
            <w:pPr>
              <w:pStyle w:val="Normal"/>
              <w:rPr>
                <w:b/>
                <w:bCs/>
                <w:sz w:val="24"/>
              </w:rPr>
            </w:pPr>
            <w:r>
              <w:rPr>
                <w:b/>
                <w:bCs/>
                <w:sz w:val="24"/>
              </w:rPr>
              <w:t>Expenses</w:t>
            </w:r>
          </w:p>
        </w:tc>
        <w:tc>
          <w:tcPr>
            <w:tcW w:w="6516" w:type="dxa"/>
            <w:tcBorders/>
          </w:tcPr>
          <w:p>
            <w:pPr>
              <w:pStyle w:val="Normal"/>
              <w:jc w:val="both"/>
              <w:rPr>
                <w:b/>
                <w:bCs/>
                <w:sz w:val="24"/>
              </w:rPr>
            </w:pPr>
            <w:r>
              <w:rPr>
                <w:b/>
                <w:bCs/>
                <w:sz w:val="24"/>
              </w:rPr>
              <w:t>ENA or its designee will be responsible for development costs, including permitting expenses.  BPUB will not obligate ENA to incur any expenses without prior approval.</w:t>
            </w:r>
          </w:p>
        </w:tc>
      </w:tr>
      <w:tr>
        <w:trPr/>
        <w:tc>
          <w:tcPr>
            <w:tcW w:w="3348" w:type="dxa"/>
            <w:tcBorders/>
          </w:tcPr>
          <w:p>
            <w:pPr>
              <w:pStyle w:val="Normal"/>
              <w:snapToGrid w:val="false"/>
              <w:rPr>
                <w:b/>
                <w:bCs/>
                <w:sz w:val="24"/>
              </w:rPr>
            </w:pPr>
            <w:r>
              <w:rPr>
                <w:b/>
                <w:bCs/>
                <w:sz w:val="24"/>
              </w:rPr>
            </w:r>
          </w:p>
        </w:tc>
        <w:tc>
          <w:tcPr>
            <w:tcW w:w="6516" w:type="dxa"/>
            <w:tcBorders/>
          </w:tcPr>
          <w:p>
            <w:pPr>
              <w:pStyle w:val="Normal"/>
              <w:snapToGrid w:val="false"/>
              <w:jc w:val="both"/>
              <w:rPr>
                <w:b/>
                <w:bCs/>
                <w:sz w:val="24"/>
              </w:rPr>
            </w:pPr>
            <w:r>
              <w:rPr>
                <w:b/>
                <w:bCs/>
                <w:sz w:val="24"/>
              </w:rPr>
            </w:r>
          </w:p>
        </w:tc>
      </w:tr>
      <w:tr>
        <w:trPr/>
        <w:tc>
          <w:tcPr>
            <w:tcW w:w="3348" w:type="dxa"/>
            <w:tcBorders/>
          </w:tcPr>
          <w:p>
            <w:pPr>
              <w:pStyle w:val="Normal"/>
              <w:rPr>
                <w:b/>
                <w:bCs/>
                <w:sz w:val="24"/>
              </w:rPr>
            </w:pPr>
            <w:r>
              <w:rPr>
                <w:b/>
                <w:bCs/>
                <w:sz w:val="24"/>
              </w:rPr>
              <w:t>Structure</w:t>
            </w:r>
          </w:p>
        </w:tc>
        <w:tc>
          <w:tcPr>
            <w:tcW w:w="6516" w:type="dxa"/>
            <w:tcBorders/>
          </w:tcPr>
          <w:p>
            <w:pPr>
              <w:pStyle w:val="Normal"/>
              <w:jc w:val="both"/>
              <w:rPr>
                <w:b/>
                <w:bCs/>
                <w:sz w:val="24"/>
              </w:rPr>
            </w:pPr>
            <w:r>
              <w:rPr>
                <w:b/>
                <w:bCs/>
                <w:sz w:val="24"/>
              </w:rPr>
              <w:t xml:space="preserve">BPUB and ENA will agree to an appropriate </w:t>
            </w:r>
            <w:r>
              <w:rPr>
                <w:b/>
                <w:bCs/>
                <w:color w:val="000000"/>
                <w:sz w:val="24"/>
              </w:rPr>
              <w:t>project equity participation and finance structure.</w:t>
            </w:r>
          </w:p>
        </w:tc>
      </w:tr>
      <w:tr>
        <w:trPr/>
        <w:tc>
          <w:tcPr>
            <w:tcW w:w="3348" w:type="dxa"/>
            <w:tcBorders/>
          </w:tcPr>
          <w:p>
            <w:pPr>
              <w:pStyle w:val="Normal"/>
              <w:snapToGrid w:val="false"/>
              <w:rPr>
                <w:b/>
                <w:bCs/>
                <w:sz w:val="24"/>
              </w:rPr>
            </w:pPr>
            <w:r>
              <w:rPr>
                <w:b/>
                <w:bCs/>
                <w:sz w:val="24"/>
              </w:rPr>
            </w:r>
          </w:p>
        </w:tc>
        <w:tc>
          <w:tcPr>
            <w:tcW w:w="6516" w:type="dxa"/>
            <w:tcBorders/>
          </w:tcPr>
          <w:p>
            <w:pPr>
              <w:pStyle w:val="Normal"/>
              <w:snapToGrid w:val="false"/>
              <w:rPr>
                <w:b/>
                <w:bCs/>
                <w:sz w:val="24"/>
              </w:rPr>
            </w:pPr>
            <w:r>
              <w:rPr>
                <w:b/>
                <w:bCs/>
                <w:sz w:val="24"/>
              </w:rPr>
            </w:r>
          </w:p>
        </w:tc>
      </w:tr>
    </w:tbl>
    <w:p>
      <w:pPr>
        <w:pStyle w:val="Normal"/>
        <w:rPr>
          <w:b/>
          <w:bCs/>
          <w:sz w:val="24"/>
        </w:rPr>
      </w:pPr>
      <w:r>
        <w:rPr>
          <w:b/>
          <w:bCs/>
          <w:sz w:val="24"/>
        </w:rPr>
      </w:r>
    </w:p>
    <w:p>
      <w:pPr>
        <w:pStyle w:val="BodyText"/>
        <w:rPr>
          <w:b/>
        </w:rPr>
      </w:pPr>
      <w:r>
        <w:rPr>
          <w:b/>
        </w:rPr>
        <w:t>THIS SUMMARY OF TERMS AND CONDITIONS IS AN ATTACHMENT TO A LETTER OF INTENT DATED APRIL ___, 2001, AND IS NOT TO BE CONSIDERED SEPARATELY FROM SUCH LETTER.  THE LETTER OF INTENT AND THIS TERM SHEET ARE NOT INTENDED TO BE COMPLETE AND ALL-INCLUSIVE OF THE TERMS OF THE PROPOSED TRANSACTIONS, NOR DOES SUCH LETTER OR THE TERM SHEET CREATE A BINDING AND ENFORCEABLE CONTRACT BETWEEN OR COMMITMENT OR OFFER TO ANY PARTY OR PARTIES.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p>
      <w:pPr>
        <w:pStyle w:val="Normal"/>
        <w:rPr>
          <w:b/>
          <w:bCs/>
          <w:sz w:val="24"/>
        </w:rPr>
      </w:pPr>
      <w:r>
        <w:rPr>
          <w:b/>
          <w:bCs/>
          <w:sz w:val="24"/>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w:instrText>
    </w:r>
    <w:r>
      <w:rPr>
        <w:sz w:val="14"/>
      </w:rPr>
      <w:fldChar w:fldCharType="separate"/>
    </w:r>
    <w:r>
      <w:rPr>
        <w:sz w:val="14"/>
      </w:rPr>
      <w:t>BPUBloi-b0f825dabc61b66deecabc84905d7f72fc448e06dd29b85c61aa179ad7b9dae7.doc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BPUBloi-b0f825dabc61b66deecabc84905d7f72fc448e06dd29b85c61aa179ad7b9dae7.doc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end"/>
      <w:rPr>
        <w:sz w:val="22"/>
      </w:rPr>
    </w:pPr>
    <w:r>
      <w:rPr>
        <w:sz w:val="22"/>
      </w:rPr>
      <w:tab/>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FOR DISCUSSION PURPOSES ONLY</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jc w:val="both"/>
      <w:outlineLvl w:val="0"/>
    </w:pPr>
    <w:rPr>
      <w:b/>
      <w:bCs/>
      <w:sz w:val="22"/>
    </w:rPr>
  </w:style>
  <w:style w:type="paragraph" w:styleId="Heading2">
    <w:name w:val="heading 2"/>
    <w:basedOn w:val="Normal"/>
    <w:next w:val="Normal"/>
    <w:qFormat/>
    <w:pPr>
      <w:keepNext w:val="true"/>
      <w:numPr>
        <w:ilvl w:val="1"/>
        <w:numId w:val="1"/>
      </w:numPr>
      <w:jc w:val="center"/>
      <w:outlineLvl w:val="1"/>
    </w:pPr>
    <w:rPr>
      <w:b/>
      <w:bCs/>
      <w:sz w:val="24"/>
    </w:rPr>
  </w:style>
  <w:style w:type="paragraph" w:styleId="Heading3">
    <w:name w:val="heading 3"/>
    <w:basedOn w:val="Normal"/>
    <w:next w:val="Normal"/>
    <w:qFormat/>
    <w:pPr>
      <w:keepNext w:val="true"/>
      <w:numPr>
        <w:ilvl w:val="2"/>
        <w:numId w:val="1"/>
      </w:numPr>
      <w:outlineLvl w:val="2"/>
    </w:pPr>
    <w:rPr>
      <w:b/>
      <w:bCs/>
      <w:sz w:val="24"/>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2001-03-29T12:00:00Z</dcterms:created>
  <dc:creator>ECT</dc:creator>
  <dc:description/>
  <dc:language>en-CA</dc:language>
  <cp:lastModifiedBy>kmann</cp:lastModifiedBy>
  <cp:lastPrinted>2001-04-03T08:34:00Z</cp:lastPrinted>
  <dcterms:modified xsi:type="dcterms:W3CDTF">2001-04-03T11:08:00Z</dcterms:modified>
  <cp:revision>5</cp:revision>
  <dc:subject/>
  <dc:title>[ECT Letterhead]</dc:title>
</cp:coreProperties>
</file>