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Draft Term Sheet</w:t>
      </w:r>
    </w:p>
    <w:p>
      <w:pPr>
        <w:pStyle w:val="Heading1"/>
        <w:ind w:hanging="0" w:start="0"/>
        <w:rPr>
          <w:rFonts w:ascii="Arial" w:hAnsi="Arial" w:cs="Arial"/>
        </w:rPr>
      </w:pPr>
      <w:r>
        <w:rPr>
          <w:rFonts w:cs="Arial" w:ascii="Arial" w:hAnsi="Arial"/>
        </w:rPr>
        <w:t>To</w:t>
      </w:r>
    </w:p>
    <w:p>
      <w:pPr>
        <w:pStyle w:val="Heading1"/>
        <w:ind w:hanging="0" w:start="0"/>
        <w:rPr>
          <w:rFonts w:ascii="Helvetica" w:hAnsi="Helvetica" w:cs="Helvetica"/>
        </w:rPr>
      </w:pPr>
      <w:r>
        <w:rPr>
          <w:rFonts w:cs="Helvetica" w:ascii="Helvetica" w:hAnsi="Helvetica"/>
        </w:rPr>
        <w:t>Brownsville Public Utility Board</w:t>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r>
    </w:p>
    <w:p>
      <w:pPr>
        <w:pStyle w:val="Normal"/>
        <w:jc w:val="center"/>
        <w:rPr>
          <w:rFonts w:ascii="Arial" w:hAnsi="Arial" w:cs="Arial"/>
        </w:rPr>
      </w:pPr>
      <w:r>
        <w:rPr>
          <w:rFonts w:cs="Arial" w:ascii="Arial" w:hAnsi="Arial"/>
        </w:rPr>
        <w:fldChar w:fldCharType="begin"/>
      </w:r>
      <w:r>
        <w:rPr>
          <w:rFonts w:cs="Arial" w:ascii="Arial" w:hAnsi="Arial"/>
        </w:rPr>
        <w:instrText xml:space="preserve"> DATE \@"MMMM'  'd', 'yyyy" </w:instrText>
      </w:r>
      <w:r>
        <w:rPr>
          <w:rFonts w:cs="Arial" w:ascii="Arial" w:hAnsi="Arial"/>
        </w:rPr>
        <w:fldChar w:fldCharType="separate"/>
      </w:r>
      <w:r>
        <w:rPr>
          <w:rFonts w:cs="Arial" w:ascii="Arial" w:hAnsi="Arial"/>
        </w:rPr>
        <w:t>September  28, 2025</w:t>
      </w:r>
      <w:r>
        <w:rPr>
          <w:rFonts w:cs="Arial" w:ascii="Arial" w:hAnsi="Arial"/>
        </w:rPr>
        <w:fldChar w:fldCharType="end"/>
      </w:r>
    </w:p>
    <w:p>
      <w:pPr>
        <w:pStyle w:val="Heading1"/>
        <w:ind w:hanging="0" w:start="0"/>
        <w:jc w:val="both"/>
        <w:rPr>
          <w:rFonts w:ascii="Arial" w:hAnsi="Arial" w:cs="Arial"/>
          <w:caps w:val="false"/>
          <w:smallCaps w:val="false"/>
        </w:rPr>
      </w:pPr>
      <w:r>
        <w:rPr>
          <w:rFonts w:cs="Arial" w:ascii="Arial" w:hAnsi="Arial"/>
          <w:caps w:val="false"/>
          <w:smallCaps w:val="false"/>
        </w:rPr>
      </w:r>
    </w:p>
    <w:p>
      <w:pPr>
        <w:pStyle w:val="Normal"/>
        <w:spacing w:lineRule="atLeast" w:line="240" w:before="0" w:after="160"/>
        <w:rPr>
          <w:rFonts w:ascii="Arial" w:hAnsi="Arial" w:cs="Arial"/>
          <w:b/>
          <w:smallCaps/>
          <w:color w:val="000000"/>
          <w:u w:val="single"/>
        </w:rPr>
      </w:pPr>
      <w:r>
        <w:rPr>
          <w:rFonts w:cs="Arial" w:ascii="Arial" w:hAnsi="Arial"/>
          <w:b/>
          <w:smallCaps/>
          <w:color w:val="000000"/>
          <w:u w:val="single"/>
        </w:rPr>
      </w:r>
    </w:p>
    <w:p>
      <w:pPr>
        <w:pStyle w:val="Normal"/>
        <w:spacing w:lineRule="atLeast" w:line="240" w:before="0" w:after="160"/>
        <w:rPr>
          <w:rFonts w:ascii="Arial" w:hAnsi="Arial" w:cs="Arial"/>
          <w:b/>
          <w:color w:val="000000"/>
          <w:u w:val="single"/>
        </w:rPr>
      </w:pPr>
      <w:r>
        <w:rPr>
          <w:rFonts w:cs="Arial" w:ascii="Arial" w:hAnsi="Arial"/>
          <w:b/>
          <w:color w:val="000000"/>
          <w:u w:val="single"/>
        </w:rPr>
        <w:t>Transaction #1</w:t>
      </w:r>
    </w:p>
    <w:p>
      <w:pPr>
        <w:pStyle w:val="Normal"/>
        <w:spacing w:lineRule="atLeast" w:line="240" w:before="0" w:after="160"/>
        <w:rPr/>
      </w:pPr>
      <w:r>
        <w:rPr>
          <w:rFonts w:cs="Arial" w:ascii="Arial" w:hAnsi="Arial"/>
          <w:b/>
          <w:color w:val="000000"/>
        </w:rPr>
        <w:t>Buyer:</w:t>
      </w:r>
      <w:r>
        <w:rPr>
          <w:rFonts w:cs="Arial" w:ascii="Arial" w:hAnsi="Arial"/>
          <w:color w:val="000000"/>
        </w:rPr>
        <w:tab/>
        <w:tab/>
        <w:tab/>
        <w:t>UBS AG, London Branch (“UBS”)</w:t>
      </w:r>
    </w:p>
    <w:p>
      <w:pPr>
        <w:pStyle w:val="BodyTextIndent"/>
        <w:spacing w:before="0" w:after="160"/>
        <w:jc w:val="both"/>
        <w:rPr>
          <w:b/>
        </w:rPr>
      </w:pPr>
      <w:r>
        <w:rPr>
          <w:b/>
        </w:rPr>
        <w:t>Seller:</w:t>
      </w:r>
      <w:r>
        <w:rPr/>
        <w:tab/>
      </w:r>
      <w:r>
        <w:rPr>
          <w:rFonts w:cs="Helvetica" w:ascii="Helvetica" w:hAnsi="Helvetica"/>
        </w:rPr>
        <w:t>Brownsville Public Utility Board (“BPUB”)</w:t>
      </w:r>
    </w:p>
    <w:p>
      <w:pPr>
        <w:pStyle w:val="Normal"/>
        <w:spacing w:lineRule="atLeast" w:line="240" w:before="0" w:after="160"/>
        <w:ind w:hanging="2160" w:start="2160" w:end="0"/>
        <w:jc w:val="both"/>
        <w:rPr>
          <w:rFonts w:ascii="Arial" w:hAnsi="Arial" w:cs="Arial"/>
          <w:b/>
          <w:color w:val="000000"/>
        </w:rPr>
      </w:pPr>
      <w:r>
        <w:rPr>
          <w:rFonts w:cs="Arial" w:ascii="Arial" w:hAnsi="Arial"/>
          <w:b/>
          <w:color w:val="000000"/>
        </w:rPr>
        <w:t>Firmness:</w:t>
        <w:tab/>
      </w:r>
      <w:r>
        <w:rPr>
          <w:rFonts w:cs="Arial" w:ascii="Arial" w:hAnsi="Arial"/>
          <w:color w:val="000000"/>
        </w:rPr>
        <w:t>Unit Contingent (Oklaunion Plant)</w:t>
      </w:r>
    </w:p>
    <w:p>
      <w:pPr>
        <w:pStyle w:val="Normal"/>
        <w:spacing w:lineRule="atLeast" w:line="240" w:before="0" w:after="160"/>
        <w:ind w:hanging="2160" w:start="2160" w:end="0"/>
        <w:jc w:val="both"/>
        <w:rPr>
          <w:rFonts w:ascii="Arial" w:hAnsi="Arial" w:cs="Arial"/>
          <w:b/>
          <w:color w:val="000000"/>
        </w:rPr>
      </w:pPr>
      <w:r>
        <w:rPr>
          <w:rFonts w:cs="Arial" w:ascii="Arial" w:hAnsi="Arial"/>
          <w:b/>
          <w:color w:val="000000"/>
        </w:rPr>
        <w:t>Term:</w:t>
        <w:tab/>
      </w:r>
      <w:r>
        <w:rPr>
          <w:rFonts w:cs="Arial" w:ascii="Arial" w:hAnsi="Arial"/>
          <w:color w:val="000000"/>
        </w:rPr>
        <w:t xml:space="preserve">May 1, 2002 through December 31, 2002 </w:t>
      </w:r>
    </w:p>
    <w:p>
      <w:pPr>
        <w:pStyle w:val="Normal"/>
        <w:spacing w:lineRule="atLeast" w:line="240"/>
        <w:jc w:val="both"/>
        <w:rPr>
          <w:rFonts w:ascii="Arial" w:hAnsi="Arial" w:cs="Arial"/>
          <w:b/>
          <w:color w:val="000000"/>
        </w:rPr>
      </w:pPr>
      <w:r>
        <w:rPr>
          <w:rFonts w:cs="Arial" w:ascii="Arial" w:hAnsi="Arial"/>
          <w:b/>
          <w:color w:val="000000"/>
        </w:rPr>
        <w:t xml:space="preserve">Quantity &amp; </w:t>
      </w:r>
    </w:p>
    <w:p>
      <w:pPr>
        <w:pStyle w:val="BodyText"/>
        <w:jc w:val="both"/>
        <w:rPr/>
      </w:pPr>
      <w:r>
        <w:rPr>
          <w:b/>
          <w:i w:val="false"/>
          <w:iCs/>
        </w:rPr>
        <w:t>Schedule:</w:t>
      </w:r>
      <w:r>
        <w:rPr/>
        <w:tab/>
        <w:tab/>
      </w:r>
      <w:r>
        <w:rPr>
          <w:i w:val="false"/>
          <w:iCs/>
          <w:u w:val="single"/>
        </w:rPr>
        <w:t>Month</w:t>
        <w:tab/>
        <w:tab/>
      </w:r>
      <w:r>
        <w:rPr>
          <w:i w:val="false"/>
          <w:iCs/>
        </w:rPr>
        <w:tab/>
      </w:r>
      <w:r>
        <w:rPr>
          <w:i w:val="false"/>
          <w:iCs/>
          <w:u w:val="single"/>
        </w:rPr>
        <w:t>On-Peak</w:t>
      </w:r>
      <w:r>
        <w:rPr>
          <w:i w:val="false"/>
          <w:iCs/>
        </w:rPr>
        <w:tab/>
      </w:r>
      <w:r>
        <w:rPr>
          <w:i w:val="false"/>
          <w:iCs/>
          <w:u w:val="single"/>
        </w:rPr>
        <w:t>Off-Peak</w:t>
      </w:r>
    </w:p>
    <w:p>
      <w:pPr>
        <w:pStyle w:val="BodyText"/>
        <w:ind w:firstLine="720" w:start="1440" w:end="0"/>
        <w:jc w:val="both"/>
        <w:rPr>
          <w:i w:val="false"/>
          <w:i w:val="false"/>
        </w:rPr>
      </w:pPr>
      <w:r>
        <w:rPr>
          <w:i w:val="false"/>
        </w:rPr>
        <w:t>May 2002</w:t>
        <w:tab/>
        <w:tab/>
        <w:t>68 MW</w:t>
        <w:tab/>
        <w:tab/>
        <w:t>33 MW</w:t>
        <w:tab/>
      </w:r>
    </w:p>
    <w:p>
      <w:pPr>
        <w:pStyle w:val="BodyText"/>
        <w:ind w:start="2160" w:end="0"/>
        <w:jc w:val="both"/>
        <w:rPr>
          <w:i w:val="false"/>
          <w:i w:val="false"/>
        </w:rPr>
      </w:pPr>
      <w:r>
        <w:rPr>
          <w:i w:val="false"/>
        </w:rPr>
        <w:t>June 2002</w:t>
        <w:tab/>
        <w:tab/>
        <w:t>68 MW</w:t>
        <w:tab/>
        <w:tab/>
        <w:t>33 MW</w:t>
        <w:tab/>
      </w:r>
    </w:p>
    <w:p>
      <w:pPr>
        <w:pStyle w:val="BodyText"/>
        <w:ind w:start="2160" w:end="0"/>
        <w:jc w:val="both"/>
        <w:rPr/>
      </w:pPr>
      <w:r>
        <w:rPr>
          <w:i w:val="false"/>
        </w:rPr>
        <w:t>July 2002</w:t>
        <w:tab/>
      </w:r>
      <w:r>
        <w:rPr>
          <w:b/>
          <w:i w:val="false"/>
        </w:rPr>
        <w:tab/>
      </w:r>
      <w:r>
        <w:rPr>
          <w:i w:val="false"/>
        </w:rPr>
        <w:t>68 MW</w:t>
        <w:tab/>
        <w:tab/>
        <w:t>33 MW</w:t>
        <w:tab/>
      </w:r>
    </w:p>
    <w:p>
      <w:pPr>
        <w:pStyle w:val="BodyText"/>
        <w:ind w:start="2160" w:end="0"/>
        <w:jc w:val="both"/>
        <w:rPr>
          <w:i w:val="false"/>
          <w:i w:val="false"/>
        </w:rPr>
      </w:pPr>
      <w:r>
        <w:rPr>
          <w:i w:val="false"/>
        </w:rPr>
        <w:t>August 2002</w:t>
        <w:tab/>
        <w:tab/>
        <w:t>68 MW</w:t>
        <w:tab/>
        <w:tab/>
        <w:t>33 MW</w:t>
      </w:r>
    </w:p>
    <w:p>
      <w:pPr>
        <w:pStyle w:val="BodyText"/>
        <w:ind w:start="2160" w:end="0"/>
        <w:jc w:val="both"/>
        <w:rPr>
          <w:i w:val="false"/>
          <w:i w:val="false"/>
        </w:rPr>
      </w:pPr>
      <w:r>
        <w:rPr>
          <w:i w:val="false"/>
        </w:rPr>
        <w:t>September 2002</w:t>
        <w:tab/>
        <w:t>68 MW</w:t>
        <w:tab/>
        <w:tab/>
        <w:t>33 MW</w:t>
      </w:r>
    </w:p>
    <w:p>
      <w:pPr>
        <w:pStyle w:val="BodyText"/>
        <w:ind w:start="2160" w:end="0"/>
        <w:jc w:val="both"/>
        <w:rPr>
          <w:i w:val="false"/>
          <w:i w:val="false"/>
        </w:rPr>
      </w:pPr>
      <w:r>
        <w:rPr>
          <w:i w:val="false"/>
        </w:rPr>
        <w:t>October 2002</w:t>
        <w:tab/>
        <w:tab/>
        <w:t>68 MW</w:t>
        <w:tab/>
        <w:tab/>
        <w:t xml:space="preserve">33 MW </w:t>
      </w:r>
    </w:p>
    <w:p>
      <w:pPr>
        <w:pStyle w:val="BodyText"/>
        <w:ind w:start="2160" w:end="0"/>
        <w:jc w:val="both"/>
        <w:rPr>
          <w:i w:val="false"/>
          <w:i w:val="false"/>
        </w:rPr>
      </w:pPr>
      <w:r>
        <w:rPr>
          <w:i w:val="false"/>
        </w:rPr>
        <w:t>November 2002</w:t>
        <w:tab/>
        <w:tab/>
        <w:t>68 MW</w:t>
        <w:tab/>
        <w:tab/>
        <w:t>33 MW</w:t>
      </w:r>
    </w:p>
    <w:p>
      <w:pPr>
        <w:pStyle w:val="BodyText"/>
        <w:ind w:start="2160" w:end="0"/>
        <w:jc w:val="both"/>
        <w:rPr>
          <w:i w:val="false"/>
          <w:i w:val="false"/>
        </w:rPr>
      </w:pPr>
      <w:r>
        <w:rPr>
          <w:i w:val="false"/>
        </w:rPr>
        <w:t>December 2002</w:t>
        <w:tab/>
        <w:tab/>
        <w:t>68 MW</w:t>
        <w:tab/>
        <w:tab/>
        <w:t>33 MW</w:t>
      </w:r>
    </w:p>
    <w:p>
      <w:pPr>
        <w:pStyle w:val="BodyText"/>
        <w:ind w:start="2160" w:end="0"/>
        <w:jc w:val="both"/>
        <w:rPr>
          <w:i w:val="false"/>
          <w:i w:val="false"/>
        </w:rPr>
      </w:pPr>
      <w:r>
        <w:rPr>
          <w:i w:val="false"/>
        </w:rPr>
      </w:r>
    </w:p>
    <w:p>
      <w:pPr>
        <w:pStyle w:val="Normal"/>
        <w:spacing w:lineRule="atLeast" w:line="240"/>
        <w:ind w:firstLine="720" w:start="1440" w:end="0"/>
        <w:jc w:val="both"/>
        <w:rPr>
          <w:rFonts w:ascii="Arial" w:hAnsi="Arial" w:cs="Arial"/>
          <w:color w:val="000000"/>
        </w:rPr>
      </w:pPr>
      <w:r>
        <w:rPr>
          <w:rFonts w:cs="Arial" w:ascii="Arial" w:hAnsi="Arial"/>
          <w:color w:val="000000"/>
        </w:rPr>
        <w:t>“</w:t>
      </w:r>
      <w:r>
        <w:rPr>
          <w:rFonts w:cs="Arial" w:ascii="Arial" w:hAnsi="Arial"/>
          <w:color w:val="000000"/>
        </w:rPr>
        <w:t>On-Peak”  is Hour Ending (“HE”) 0700 through HE 2200</w:t>
      </w:r>
    </w:p>
    <w:p>
      <w:pPr>
        <w:pStyle w:val="Normal"/>
        <w:spacing w:lineRule="atLeast" w:line="240"/>
        <w:ind w:firstLine="720" w:start="1440" w:end="0"/>
        <w:jc w:val="both"/>
        <w:rPr>
          <w:rFonts w:ascii="Arial" w:hAnsi="Arial" w:cs="Arial"/>
          <w:color w:val="000000"/>
        </w:rPr>
      </w:pPr>
      <w:r>
        <w:rPr>
          <w:rFonts w:cs="Arial" w:ascii="Arial" w:hAnsi="Arial"/>
          <w:color w:val="000000"/>
        </w:rPr>
        <w:t>“</w:t>
      </w:r>
      <w:r>
        <w:rPr>
          <w:rFonts w:cs="Arial" w:ascii="Arial" w:hAnsi="Arial"/>
          <w:color w:val="000000"/>
        </w:rPr>
        <w:t>Off-Peak” is HE 2300 through HE 0600</w:t>
      </w:r>
    </w:p>
    <w:p>
      <w:pPr>
        <w:pStyle w:val="Normal"/>
        <w:spacing w:lineRule="atLeast" w:line="240"/>
        <w:jc w:val="both"/>
        <w:rPr>
          <w:rFonts w:ascii="Arial" w:hAnsi="Arial" w:cs="Arial"/>
          <w:color w:val="000000"/>
          <w:sz w:val="16"/>
        </w:rPr>
      </w:pPr>
      <w:r>
        <w:rPr>
          <w:rFonts w:cs="Arial" w:ascii="Arial" w:hAnsi="Arial"/>
          <w:color w:val="000000"/>
          <w:sz w:val="16"/>
        </w:rPr>
      </w:r>
    </w:p>
    <w:p>
      <w:pPr>
        <w:pStyle w:val="BodyText"/>
        <w:spacing w:before="0" w:after="160"/>
        <w:ind w:hanging="2160" w:start="2160" w:end="0"/>
        <w:jc w:val="both"/>
        <w:rPr/>
      </w:pPr>
      <w:r>
        <w:rPr>
          <w:b/>
          <w:i w:val="false"/>
        </w:rPr>
        <w:t>Energy Price:</w:t>
        <w:tab/>
      </w:r>
      <w:r>
        <w:rPr>
          <w:i w:val="false"/>
        </w:rPr>
        <w:t>Electric Reliability Council of Texas’ (“ERCOT”) Balancing Energy Service-Up Market Clearing Price for Energy (“MCPE”) for the ERCOT 2002 South Zone plus the following adder in each respective month:</w:t>
      </w:r>
    </w:p>
    <w:p>
      <w:pPr>
        <w:pStyle w:val="BodyText"/>
        <w:ind w:start="2160" w:end="0"/>
        <w:jc w:val="both"/>
        <w:rPr>
          <w:i w:val="false"/>
          <w:i w:val="false"/>
        </w:rPr>
      </w:pPr>
      <w:r>
        <w:rPr>
          <w:i w:val="false"/>
        </w:rPr>
        <w:t>May 2002</w:t>
        <w:tab/>
        <w:tab/>
        <w:t>$2.30 per MWh</w:t>
        <w:tab/>
      </w:r>
    </w:p>
    <w:p>
      <w:pPr>
        <w:pStyle w:val="BodyText"/>
        <w:ind w:start="2160" w:end="0"/>
        <w:jc w:val="both"/>
        <w:rPr>
          <w:i w:val="false"/>
          <w:i w:val="false"/>
        </w:rPr>
      </w:pPr>
      <w:r>
        <w:rPr>
          <w:i w:val="false"/>
        </w:rPr>
        <w:t>June 2002</w:t>
        <w:tab/>
        <w:tab/>
        <w:t>$5.00 per MWh</w:t>
        <w:tab/>
      </w:r>
    </w:p>
    <w:p>
      <w:pPr>
        <w:pStyle w:val="BodyText"/>
        <w:ind w:start="2160" w:end="0"/>
        <w:jc w:val="both"/>
        <w:rPr/>
      </w:pPr>
      <w:r>
        <w:rPr>
          <w:i w:val="false"/>
        </w:rPr>
        <w:t>July 2002</w:t>
        <w:tab/>
      </w:r>
      <w:r>
        <w:rPr>
          <w:b/>
          <w:i w:val="false"/>
        </w:rPr>
        <w:tab/>
      </w:r>
      <w:r>
        <w:rPr>
          <w:i w:val="false"/>
        </w:rPr>
        <w:t>$7.30 per MWh</w:t>
        <w:tab/>
      </w:r>
    </w:p>
    <w:p>
      <w:pPr>
        <w:pStyle w:val="BodyText"/>
        <w:ind w:start="2160" w:end="0"/>
        <w:jc w:val="both"/>
        <w:rPr>
          <w:i w:val="false"/>
          <w:i w:val="false"/>
        </w:rPr>
      </w:pPr>
      <w:r>
        <w:rPr>
          <w:i w:val="false"/>
        </w:rPr>
        <w:t>August 2002</w:t>
        <w:tab/>
        <w:tab/>
        <w:t>$7.30 per MWh</w:t>
      </w:r>
    </w:p>
    <w:p>
      <w:pPr>
        <w:pStyle w:val="BodyText"/>
        <w:ind w:start="2160" w:end="0"/>
        <w:jc w:val="both"/>
        <w:rPr>
          <w:i w:val="false"/>
          <w:i w:val="false"/>
        </w:rPr>
      </w:pPr>
      <w:r>
        <w:rPr>
          <w:i w:val="false"/>
        </w:rPr>
        <w:t>September 2002</w:t>
        <w:tab/>
        <w:t>$2.30 per MWh</w:t>
      </w:r>
    </w:p>
    <w:p>
      <w:pPr>
        <w:pStyle w:val="BodyText"/>
        <w:ind w:start="2160" w:end="0"/>
        <w:jc w:val="both"/>
        <w:rPr>
          <w:i w:val="false"/>
          <w:i w:val="false"/>
        </w:rPr>
      </w:pPr>
      <w:r>
        <w:rPr>
          <w:i w:val="false"/>
        </w:rPr>
        <w:t>October 2002</w:t>
        <w:tab/>
        <w:tab/>
        <w:t>$1.60 per MWh</w:t>
      </w:r>
    </w:p>
    <w:p>
      <w:pPr>
        <w:pStyle w:val="BodyText"/>
        <w:ind w:start="2160" w:end="0"/>
        <w:jc w:val="both"/>
        <w:rPr>
          <w:i w:val="false"/>
          <w:i w:val="false"/>
        </w:rPr>
      </w:pPr>
      <w:r>
        <w:rPr>
          <w:i w:val="false"/>
        </w:rPr>
        <w:t>November 2002</w:t>
        <w:tab/>
        <w:tab/>
        <w:t>$1.00 per MWh</w:t>
      </w:r>
    </w:p>
    <w:p>
      <w:pPr>
        <w:pStyle w:val="BodyText"/>
        <w:ind w:start="2160" w:end="0"/>
        <w:jc w:val="both"/>
        <w:rPr>
          <w:i w:val="false"/>
          <w:i w:val="false"/>
        </w:rPr>
      </w:pPr>
      <w:r>
        <w:rPr>
          <w:i w:val="false"/>
        </w:rPr>
        <w:t>December 2002</w:t>
        <w:tab/>
        <w:tab/>
        <w:t>$1.00 per MWh</w:t>
      </w:r>
    </w:p>
    <w:p>
      <w:pPr>
        <w:pStyle w:val="BodyText"/>
        <w:ind w:start="2160" w:end="0"/>
        <w:jc w:val="both"/>
        <w:rPr>
          <w:i w:val="false"/>
          <w:i w:val="false"/>
          <w:sz w:val="16"/>
        </w:rPr>
      </w:pPr>
      <w:r>
        <w:rPr>
          <w:i w:val="false"/>
          <w:sz w:val="16"/>
        </w:rPr>
      </w:r>
    </w:p>
    <w:p>
      <w:pPr>
        <w:pStyle w:val="Normal"/>
        <w:spacing w:lineRule="atLeast" w:line="240" w:before="0" w:after="160"/>
        <w:ind w:hanging="2160" w:start="2160" w:end="0"/>
        <w:jc w:val="both"/>
        <w:rPr/>
      </w:pPr>
      <w:r>
        <w:rPr>
          <w:rFonts w:cs="Arial" w:ascii="Arial" w:hAnsi="Arial"/>
          <w:b/>
          <w:color w:val="000000"/>
        </w:rPr>
        <w:t>Delivery Point:</w:t>
        <w:tab/>
      </w:r>
      <w:r>
        <w:rPr>
          <w:rFonts w:cs="Arial" w:ascii="Arial" w:hAnsi="Arial"/>
          <w:color w:val="000000"/>
        </w:rPr>
        <w:t>On a day-ahead basis, UBS would have the option of taking delivery at either: (i) ERCOT 2002 West Zone or (ii) ERCOT 2002 North Zone.</w:t>
      </w:r>
    </w:p>
    <w:p>
      <w:pPr>
        <w:pStyle w:val="Normal"/>
        <w:spacing w:lineRule="atLeast" w:line="240" w:before="0" w:after="160"/>
        <w:ind w:hanging="2160" w:start="2160" w:end="0"/>
        <w:jc w:val="both"/>
        <w:rPr/>
      </w:pPr>
      <w:r>
        <w:rPr>
          <w:rFonts w:cs="Arial" w:ascii="Arial" w:hAnsi="Arial"/>
          <w:b/>
          <w:color w:val="000000"/>
        </w:rPr>
        <w:t>Transmission Costs:</w:t>
        <w:tab/>
      </w:r>
      <w:r>
        <w:rPr>
          <w:rFonts w:cs="Arial" w:ascii="Arial" w:hAnsi="Arial"/>
          <w:color w:val="000000"/>
        </w:rPr>
        <w:t xml:space="preserve">BPUB would be responsible for all transmission charges and losses to the Delivery Point.  UBS would be responsible for all transmission charges and losses from the Delivery Point to their sink. </w:t>
      </w:r>
    </w:p>
    <w:p>
      <w:pPr>
        <w:pStyle w:val="Normal"/>
        <w:spacing w:lineRule="atLeast" w:line="240" w:before="0" w:after="160"/>
        <w:rPr>
          <w:rFonts w:ascii="Arial" w:hAnsi="Arial" w:cs="Arial"/>
          <w:b/>
          <w:color w:val="000000"/>
          <w:u w:val="single"/>
        </w:rPr>
      </w:pPr>
      <w:r>
        <w:rPr>
          <w:rFonts w:cs="Arial" w:ascii="Arial" w:hAnsi="Arial"/>
          <w:b/>
          <w:color w:val="000000"/>
          <w:u w:val="single"/>
        </w:rPr>
      </w:r>
    </w:p>
    <w:p>
      <w:pPr>
        <w:pStyle w:val="Normal"/>
        <w:spacing w:lineRule="atLeast" w:line="240" w:before="0" w:after="160"/>
        <w:rPr>
          <w:rFonts w:ascii="Arial" w:hAnsi="Arial" w:cs="Arial"/>
          <w:b/>
          <w:color w:val="000000"/>
          <w:u w:val="single"/>
        </w:rPr>
      </w:pPr>
      <w:r>
        <w:rPr>
          <w:rFonts w:cs="Arial" w:ascii="Arial" w:hAnsi="Arial"/>
          <w:b/>
          <w:color w:val="000000"/>
          <w:u w:val="single"/>
        </w:rPr>
        <w:t>Transaction #2</w:t>
      </w:r>
    </w:p>
    <w:p>
      <w:pPr>
        <w:pStyle w:val="Normal"/>
        <w:spacing w:lineRule="atLeast" w:line="240" w:before="0" w:after="160"/>
        <w:rPr>
          <w:rFonts w:ascii="Arial" w:hAnsi="Arial" w:cs="Arial"/>
          <w:color w:val="000000"/>
        </w:rPr>
      </w:pPr>
      <w:r>
        <w:rPr>
          <w:rFonts w:cs="Arial" w:ascii="Arial" w:hAnsi="Arial"/>
          <w:b/>
          <w:color w:val="000000"/>
        </w:rPr>
        <w:t>Buyer:</w:t>
      </w:r>
      <w:r>
        <w:rPr>
          <w:rFonts w:cs="Arial" w:ascii="Arial" w:hAnsi="Arial"/>
          <w:color w:val="000000"/>
        </w:rPr>
        <w:tab/>
        <w:tab/>
        <w:tab/>
      </w:r>
      <w:r>
        <w:rPr>
          <w:rFonts w:cs="Helvetica" w:ascii="Helvetica" w:hAnsi="Helvetica"/>
        </w:rPr>
        <w:t>BPUB</w:t>
      </w:r>
    </w:p>
    <w:p>
      <w:pPr>
        <w:pStyle w:val="BodyTextIndent"/>
        <w:spacing w:before="0" w:after="160"/>
        <w:jc w:val="both"/>
        <w:rPr>
          <w:b/>
        </w:rPr>
      </w:pPr>
      <w:r>
        <w:rPr>
          <w:b/>
        </w:rPr>
        <w:t>Seller:</w:t>
      </w:r>
      <w:r>
        <w:rPr/>
        <w:tab/>
        <w:t>UBS</w:t>
      </w:r>
    </w:p>
    <w:p>
      <w:pPr>
        <w:pStyle w:val="Normal"/>
        <w:spacing w:lineRule="atLeast" w:line="240" w:before="0" w:after="160"/>
        <w:ind w:hanging="2160" w:start="2160" w:end="0"/>
        <w:jc w:val="both"/>
        <w:rPr>
          <w:rFonts w:ascii="Arial" w:hAnsi="Arial" w:cs="Arial"/>
          <w:b/>
          <w:color w:val="000000"/>
        </w:rPr>
      </w:pPr>
      <w:r>
        <w:rPr>
          <w:rFonts w:cs="Arial" w:ascii="Arial" w:hAnsi="Arial"/>
          <w:b/>
          <w:color w:val="000000"/>
        </w:rPr>
        <w:t>Firmness:</w:t>
        <w:tab/>
      </w:r>
      <w:r>
        <w:rPr>
          <w:rFonts w:cs="Arial" w:ascii="Arial" w:hAnsi="Arial"/>
          <w:color w:val="000000"/>
        </w:rPr>
        <w:t>Firm LD</w:t>
      </w:r>
    </w:p>
    <w:p>
      <w:pPr>
        <w:pStyle w:val="Normal"/>
        <w:spacing w:lineRule="atLeast" w:line="240" w:before="0" w:after="160"/>
        <w:ind w:hanging="2160" w:start="2160" w:end="0"/>
        <w:jc w:val="both"/>
        <w:rPr>
          <w:rFonts w:ascii="Arial" w:hAnsi="Arial" w:cs="Arial"/>
          <w:b/>
          <w:color w:val="000000"/>
        </w:rPr>
      </w:pPr>
      <w:r>
        <w:rPr>
          <w:rFonts w:cs="Arial" w:ascii="Arial" w:hAnsi="Arial"/>
          <w:b/>
          <w:color w:val="000000"/>
        </w:rPr>
        <w:t>Term:</w:t>
        <w:tab/>
      </w:r>
      <w:r>
        <w:rPr>
          <w:rFonts w:cs="Arial" w:ascii="Arial" w:hAnsi="Arial"/>
          <w:color w:val="000000"/>
        </w:rPr>
        <w:t xml:space="preserve">May 1, 2002 through December 31, 2002 </w:t>
      </w:r>
    </w:p>
    <w:p>
      <w:pPr>
        <w:pStyle w:val="Normal"/>
        <w:spacing w:lineRule="atLeast" w:line="240"/>
        <w:jc w:val="both"/>
        <w:rPr>
          <w:rFonts w:ascii="Arial" w:hAnsi="Arial" w:cs="Arial"/>
          <w:b/>
          <w:color w:val="000000"/>
        </w:rPr>
      </w:pPr>
      <w:r>
        <w:rPr>
          <w:rFonts w:cs="Arial" w:ascii="Arial" w:hAnsi="Arial"/>
          <w:b/>
          <w:color w:val="000000"/>
        </w:rPr>
        <w:t xml:space="preserve">Quantity &amp; </w:t>
      </w:r>
    </w:p>
    <w:p>
      <w:pPr>
        <w:pStyle w:val="BodyText"/>
        <w:jc w:val="both"/>
        <w:rPr/>
      </w:pPr>
      <w:r>
        <w:rPr>
          <w:b/>
          <w:i w:val="false"/>
          <w:iCs/>
        </w:rPr>
        <w:t>Schedule:</w:t>
      </w:r>
      <w:r>
        <w:rPr/>
        <w:tab/>
        <w:tab/>
      </w:r>
      <w:r>
        <w:rPr>
          <w:i w:val="false"/>
          <w:iCs/>
          <w:u w:val="single"/>
        </w:rPr>
        <w:t>Month</w:t>
        <w:tab/>
        <w:tab/>
      </w:r>
      <w:r>
        <w:rPr>
          <w:i w:val="false"/>
          <w:iCs/>
        </w:rPr>
        <w:tab/>
      </w:r>
      <w:r>
        <w:rPr>
          <w:i w:val="false"/>
          <w:iCs/>
          <w:u w:val="single"/>
        </w:rPr>
        <w:t>On-Peak</w:t>
      </w:r>
      <w:r>
        <w:rPr>
          <w:i w:val="false"/>
          <w:iCs/>
        </w:rPr>
        <w:tab/>
      </w:r>
      <w:r>
        <w:rPr>
          <w:i w:val="false"/>
          <w:iCs/>
          <w:u w:val="single"/>
        </w:rPr>
        <w:t>Off-Peak</w:t>
      </w:r>
    </w:p>
    <w:p>
      <w:pPr>
        <w:pStyle w:val="BodyText"/>
        <w:ind w:firstLine="720" w:start="1440" w:end="0"/>
        <w:jc w:val="both"/>
        <w:rPr>
          <w:i w:val="false"/>
          <w:i w:val="false"/>
        </w:rPr>
      </w:pPr>
      <w:r>
        <w:rPr>
          <w:i w:val="false"/>
        </w:rPr>
        <w:t>May 2002</w:t>
        <w:tab/>
        <w:tab/>
        <w:t>68 MW</w:t>
        <w:tab/>
        <w:tab/>
        <w:t>33 MW</w:t>
        <w:tab/>
      </w:r>
    </w:p>
    <w:p>
      <w:pPr>
        <w:pStyle w:val="BodyText"/>
        <w:ind w:start="2160" w:end="0"/>
        <w:jc w:val="both"/>
        <w:rPr>
          <w:i w:val="false"/>
          <w:i w:val="false"/>
        </w:rPr>
      </w:pPr>
      <w:r>
        <w:rPr>
          <w:i w:val="false"/>
        </w:rPr>
        <w:t>June 2002</w:t>
        <w:tab/>
        <w:tab/>
        <w:t>68 MW</w:t>
        <w:tab/>
        <w:tab/>
        <w:t>33 MW</w:t>
        <w:tab/>
      </w:r>
    </w:p>
    <w:p>
      <w:pPr>
        <w:pStyle w:val="BodyText"/>
        <w:ind w:start="2160" w:end="0"/>
        <w:jc w:val="both"/>
        <w:rPr/>
      </w:pPr>
      <w:r>
        <w:rPr>
          <w:i w:val="false"/>
        </w:rPr>
        <w:t>July 2002</w:t>
        <w:tab/>
      </w:r>
      <w:r>
        <w:rPr>
          <w:b/>
          <w:i w:val="false"/>
        </w:rPr>
        <w:tab/>
      </w:r>
      <w:r>
        <w:rPr>
          <w:i w:val="false"/>
        </w:rPr>
        <w:t>68 MW</w:t>
        <w:tab/>
        <w:tab/>
        <w:t>33 MW</w:t>
        <w:tab/>
      </w:r>
    </w:p>
    <w:p>
      <w:pPr>
        <w:pStyle w:val="BodyText"/>
        <w:ind w:start="2160" w:end="0"/>
        <w:jc w:val="both"/>
        <w:rPr>
          <w:i w:val="false"/>
          <w:i w:val="false"/>
        </w:rPr>
      </w:pPr>
      <w:r>
        <w:rPr>
          <w:i w:val="false"/>
        </w:rPr>
        <w:t>August 2002</w:t>
        <w:tab/>
        <w:tab/>
        <w:t>68 MW</w:t>
        <w:tab/>
        <w:tab/>
        <w:t>33 MW</w:t>
      </w:r>
    </w:p>
    <w:p>
      <w:pPr>
        <w:pStyle w:val="BodyText"/>
        <w:ind w:start="2160" w:end="0"/>
        <w:jc w:val="both"/>
        <w:rPr>
          <w:i w:val="false"/>
          <w:i w:val="false"/>
        </w:rPr>
      </w:pPr>
      <w:r>
        <w:rPr>
          <w:i w:val="false"/>
        </w:rPr>
        <w:t>September 2002</w:t>
        <w:tab/>
        <w:t>68 MW</w:t>
        <w:tab/>
        <w:tab/>
        <w:t>33 MW</w:t>
      </w:r>
    </w:p>
    <w:p>
      <w:pPr>
        <w:pStyle w:val="BodyText"/>
        <w:ind w:start="2160" w:end="0"/>
        <w:jc w:val="both"/>
        <w:rPr>
          <w:i w:val="false"/>
          <w:i w:val="false"/>
        </w:rPr>
      </w:pPr>
      <w:r>
        <w:rPr>
          <w:i w:val="false"/>
        </w:rPr>
        <w:t>October 2002</w:t>
        <w:tab/>
        <w:tab/>
        <w:t>68 MW</w:t>
        <w:tab/>
        <w:tab/>
        <w:t xml:space="preserve">33 MW </w:t>
      </w:r>
    </w:p>
    <w:p>
      <w:pPr>
        <w:pStyle w:val="BodyText"/>
        <w:ind w:start="2160" w:end="0"/>
        <w:jc w:val="both"/>
        <w:rPr>
          <w:i w:val="false"/>
          <w:i w:val="false"/>
        </w:rPr>
      </w:pPr>
      <w:r>
        <w:rPr>
          <w:i w:val="false"/>
        </w:rPr>
        <w:t>November 2002</w:t>
        <w:tab/>
        <w:tab/>
        <w:t>68 MW</w:t>
        <w:tab/>
        <w:tab/>
        <w:t>33 MW</w:t>
      </w:r>
    </w:p>
    <w:p>
      <w:pPr>
        <w:pStyle w:val="BodyText"/>
        <w:ind w:start="2160" w:end="0"/>
        <w:jc w:val="both"/>
        <w:rPr>
          <w:i w:val="false"/>
          <w:i w:val="false"/>
        </w:rPr>
      </w:pPr>
      <w:r>
        <w:rPr>
          <w:i w:val="false"/>
        </w:rPr>
        <w:t>December 2002</w:t>
        <w:tab/>
        <w:tab/>
        <w:t>68 MW</w:t>
        <w:tab/>
        <w:tab/>
        <w:t>33 MW</w:t>
      </w:r>
    </w:p>
    <w:p>
      <w:pPr>
        <w:pStyle w:val="BodyText"/>
        <w:jc w:val="both"/>
        <w:rPr>
          <w:b/>
          <w:bCs/>
          <w:i w:val="false"/>
          <w:i w:val="false"/>
          <w:iCs/>
          <w:sz w:val="16"/>
        </w:rPr>
      </w:pPr>
      <w:r>
        <w:rPr>
          <w:b/>
          <w:bCs/>
          <w:i w:val="false"/>
          <w:iCs/>
          <w:sz w:val="16"/>
        </w:rPr>
      </w:r>
    </w:p>
    <w:p>
      <w:pPr>
        <w:pStyle w:val="BodyText"/>
        <w:spacing w:before="0" w:after="160"/>
        <w:jc w:val="both"/>
        <w:rPr/>
      </w:pPr>
      <w:r>
        <w:rPr>
          <w:b/>
          <w:bCs/>
          <w:i w:val="false"/>
          <w:iCs/>
        </w:rPr>
        <w:t>Energy Price:</w:t>
        <w:tab/>
      </w:r>
      <w:r>
        <w:rPr>
          <w:i w:val="false"/>
          <w:iCs/>
        </w:rPr>
        <w:tab/>
        <w:t xml:space="preserve">ERCOT’s </w:t>
      </w:r>
      <w:r>
        <w:rPr>
          <w:i w:val="false"/>
        </w:rPr>
        <w:t>MCPE for the ERCOT 2002 South Zone</w:t>
      </w:r>
    </w:p>
    <w:p>
      <w:pPr>
        <w:pStyle w:val="Normal"/>
        <w:spacing w:lineRule="atLeast" w:line="240" w:before="0" w:after="160"/>
        <w:ind w:hanging="2160" w:start="2160" w:end="0"/>
        <w:jc w:val="both"/>
        <w:rPr/>
      </w:pPr>
      <w:r>
        <w:rPr>
          <w:rFonts w:cs="Arial" w:ascii="Arial" w:hAnsi="Arial"/>
          <w:b/>
          <w:color w:val="000000"/>
        </w:rPr>
        <w:t>Delivery Point:</w:t>
        <w:tab/>
      </w:r>
      <w:r>
        <w:rPr>
          <w:rFonts w:cs="Arial" w:ascii="Arial" w:hAnsi="Arial"/>
          <w:color w:val="000000"/>
        </w:rPr>
        <w:t>ERCOT 2002 South Zone</w:t>
      </w:r>
      <w:r>
        <w:rPr>
          <w:rFonts w:cs="Arial" w:ascii="Arial" w:hAnsi="Arial"/>
          <w:b/>
          <w:color w:val="000000"/>
        </w:rPr>
        <w:t xml:space="preserve"> </w:t>
      </w:r>
    </w:p>
    <w:p>
      <w:pPr>
        <w:pStyle w:val="BodyText"/>
        <w:spacing w:before="0" w:after="160"/>
        <w:ind w:hanging="2160" w:start="2160" w:end="0"/>
        <w:jc w:val="both"/>
        <w:rPr>
          <w:b/>
          <w:bCs/>
          <w:i w:val="false"/>
          <w:i w:val="false"/>
        </w:rPr>
      </w:pPr>
      <w:r>
        <w:rPr>
          <w:b/>
          <w:bCs/>
          <w:i w:val="false"/>
        </w:rPr>
        <w:t>Unit Contingency:</w:t>
      </w:r>
      <w:r>
        <w:rPr>
          <w:i w:val="false"/>
        </w:rPr>
        <w:tab/>
        <w:t>In the event BPUB’s Oklaunion Plant has a forced outage and BPUB is excused from delivering power to UBS per Transaction #1 above, UBS would have the option to discontinue supplying BPUB in Transaction #2 for the duration of such outage.</w:t>
      </w:r>
    </w:p>
    <w:p>
      <w:pPr>
        <w:pStyle w:val="BodyText"/>
        <w:spacing w:before="0" w:after="160"/>
        <w:ind w:hanging="2160" w:start="2160" w:end="0"/>
        <w:jc w:val="both"/>
        <w:rPr/>
      </w:pPr>
      <w:r>
        <w:rPr>
          <w:b/>
          <w:bCs/>
          <w:i w:val="false"/>
        </w:rPr>
        <w:t>Delivery Option:</w:t>
      </w:r>
      <w:r>
        <w:rPr>
          <w:i w:val="false"/>
        </w:rPr>
        <w:tab/>
        <w:t xml:space="preserve">On an hourly basis, UBS would have the option of either (i) scheduling physical power to the Delivery Point or (ii) paying BPUB the ERCOT MCPE for the ERCOT 2002 South Zone. </w:t>
      </w:r>
    </w:p>
    <w:p>
      <w:pPr>
        <w:pStyle w:val="Normal"/>
        <w:spacing w:lineRule="atLeast" w:line="240" w:before="0" w:after="160"/>
        <w:ind w:hanging="2160" w:start="2160" w:end="0"/>
        <w:jc w:val="both"/>
        <w:rPr/>
      </w:pPr>
      <w:r>
        <w:rPr>
          <w:rFonts w:cs="Arial" w:ascii="Arial" w:hAnsi="Arial"/>
          <w:b/>
          <w:color w:val="000000"/>
        </w:rPr>
        <w:t>Transmission Costs:</w:t>
        <w:tab/>
      </w:r>
      <w:r>
        <w:rPr>
          <w:rFonts w:cs="Arial" w:ascii="Arial" w:hAnsi="Arial"/>
          <w:color w:val="000000"/>
        </w:rPr>
        <w:t xml:space="preserve">UBS would be responsible for all transmission charges and losses to the Delivery Point.  BPUB would be responsible for all transmission charges and losses from the Delivery Point to their sink. </w:t>
      </w:r>
    </w:p>
    <w:p>
      <w:pPr>
        <w:pStyle w:val="BodyText"/>
        <w:spacing w:before="0" w:after="160"/>
        <w:jc w:val="both"/>
        <w:rPr>
          <w:rFonts w:ascii="Arial" w:hAnsi="Arial" w:cs="Arial"/>
          <w:b/>
          <w:i w:val="false"/>
          <w:i w:val="false"/>
          <w:color w:val="000000"/>
          <w:u w:val="single"/>
        </w:rPr>
      </w:pPr>
      <w:r>
        <w:rPr>
          <w:rFonts w:cs="Arial"/>
          <w:b/>
          <w:i w:val="false"/>
          <w:color w:val="000000"/>
          <w:u w:val="single"/>
        </w:rPr>
      </w:r>
    </w:p>
    <w:p>
      <w:pPr>
        <w:pStyle w:val="BodyText"/>
        <w:spacing w:before="0" w:after="160"/>
        <w:jc w:val="both"/>
        <w:rPr>
          <w:b/>
          <w:i w:val="false"/>
          <w:i w:val="false"/>
          <w:u w:val="single"/>
        </w:rPr>
      </w:pPr>
      <w:r>
        <w:rPr>
          <w:b/>
          <w:i w:val="false"/>
          <w:u w:val="single"/>
        </w:rPr>
        <w:t>Miscellaneous Terms for Both Transaction #1 &amp; #2</w:t>
      </w:r>
    </w:p>
    <w:p>
      <w:pPr>
        <w:pStyle w:val="BodyText"/>
        <w:spacing w:before="0" w:after="160"/>
        <w:jc w:val="both"/>
        <w:rPr>
          <w:b/>
          <w:i w:val="false"/>
          <w:i w:val="false"/>
          <w:u w:val="single"/>
        </w:rPr>
      </w:pPr>
      <w:r>
        <w:rPr>
          <w:b/>
          <w:i w:val="false"/>
          <w:u w:val="single"/>
        </w:rPr>
      </w:r>
    </w:p>
    <w:p>
      <w:pPr>
        <w:pStyle w:val="BodyText"/>
        <w:spacing w:before="0" w:after="160"/>
        <w:ind w:hanging="2160" w:start="2160" w:end="0"/>
        <w:jc w:val="both"/>
        <w:rPr>
          <w:b/>
          <w:i w:val="false"/>
          <w:i w:val="false"/>
        </w:rPr>
      </w:pPr>
      <w:r>
        <w:rPr>
          <w:b/>
          <w:i w:val="false"/>
        </w:rPr>
        <w:t>Terms &amp; Conditions:</w:t>
        <w:tab/>
      </w:r>
      <w:r>
        <w:rPr>
          <w:i w:val="false"/>
        </w:rPr>
        <w:t xml:space="preserve">Basic Terms and Conditions, including but not limited to those governing events of default and remedies, dispute resolution, limitations of damages, credit, confidentiality, governing law and environmental matters, would be negotiated between the parties </w:t>
      </w:r>
    </w:p>
    <w:p>
      <w:pPr>
        <w:pStyle w:val="Normal"/>
        <w:spacing w:before="0" w:after="160"/>
        <w:ind w:hanging="2160" w:start="2160" w:end="0"/>
        <w:jc w:val="both"/>
        <w:rPr>
          <w:rFonts w:ascii="Arial" w:hAnsi="Arial" w:cs="Arial"/>
        </w:rPr>
      </w:pPr>
      <w:r>
        <w:rPr>
          <w:rFonts w:cs="Arial" w:ascii="Arial" w:hAnsi="Arial"/>
          <w:b/>
        </w:rPr>
        <w:t>Confidentiality:</w:t>
      </w:r>
      <w:r>
        <w:rPr>
          <w:rFonts w:cs="Arial" w:ascii="Arial" w:hAnsi="Arial"/>
        </w:rPr>
        <w:tab/>
        <w:t>The existence of this Draft Term Sheet and all terms and conditions contained herein are confidential between UBS and BPUB and their duly appointed representatives and shall not be disclosed to third parties.</w:t>
      </w:r>
    </w:p>
    <w:p>
      <w:pPr>
        <w:pStyle w:val="BodyText"/>
        <w:ind w:hanging="2160" w:start="2160" w:end="0"/>
        <w:jc w:val="both"/>
        <w:rPr>
          <w:rFonts w:ascii="Arial" w:hAnsi="Arial" w:cs="Arial"/>
          <w:i w:val="false"/>
          <w:i w:val="false"/>
        </w:rPr>
      </w:pPr>
      <w:r>
        <w:rPr>
          <w:rFonts w:cs="Arial"/>
          <w:i w:val="false"/>
        </w:rPr>
      </w:r>
    </w:p>
    <w:p>
      <w:pPr>
        <w:pStyle w:val="BodyText"/>
        <w:jc w:val="both"/>
        <w:rPr>
          <w:b/>
          <w:i w:val="false"/>
          <w:i w:val="false"/>
        </w:rPr>
      </w:pPr>
      <w:r>
        <w:rPr>
          <w:b/>
          <w:i w:val="false"/>
        </w:rPr>
      </w:r>
    </w:p>
    <w:p>
      <w:pPr>
        <w:pStyle w:val="BodyText"/>
        <w:jc w:val="both"/>
        <w:rPr>
          <w:b/>
          <w:i w:val="false"/>
          <w:i w:val="false"/>
        </w:rPr>
      </w:pPr>
      <w:r>
        <w:rPr>
          <w:b/>
          <w:i w:val="false"/>
        </w:rPr>
      </w:r>
    </w:p>
    <w:p>
      <w:pPr>
        <w:pStyle w:val="BodyText"/>
        <w:jc w:val="both"/>
        <w:rPr>
          <w:b/>
          <w:i w:val="false"/>
          <w:i w:val="false"/>
        </w:rPr>
      </w:pPr>
      <w:r>
        <w:rPr>
          <w:b/>
          <w:i w:val="false"/>
        </w:rPr>
      </w:r>
    </w:p>
    <w:p>
      <w:pPr>
        <w:pStyle w:val="BodyText"/>
        <w:jc w:val="both"/>
        <w:rPr>
          <w:b/>
          <w:i w:val="false"/>
          <w:i w:val="false"/>
        </w:rPr>
      </w:pPr>
      <w:r>
        <w:rPr>
          <w:b/>
          <w:i w:val="false"/>
        </w:rPr>
      </w:r>
    </w:p>
    <w:p>
      <w:pPr>
        <w:pStyle w:val="BodyText"/>
        <w:jc w:val="both"/>
        <w:rPr>
          <w:b/>
          <w:i w:val="false"/>
          <w:i w:val="false"/>
        </w:rPr>
      </w:pPr>
      <w:r>
        <w:rPr>
          <w:b/>
          <w:i w:val="false"/>
        </w:rPr>
        <w:t>Not An Offer, For Discussion Purposes Only:  This Draft Term Sheet is for discussion purposes only, to facilitate the negotiation, preparation, and execution of a definitive agreement. This is not an offer or commitment of UBS or any of its affiliates to enter into any transaction.  The prices and terms of this Draft Term Sheet are subject to change until a definitive agreement is reached, if any.  The transaction described herein is subject to further review and approval of UBS and BPUB, and execution of a definitive agreement containing all appropriate provisions, including those related to events of default and remedies, dispute resolution, limitations of damages, credit, confidentiality, governing law and environmental matters.  Neither party is obligated to negotiate to enter into a definitive agreement and each party may cease discussions for any reason at any time.  Neither party shall disclose the terms and provisions of this Draft Term Sheet to any third party.</w:t>
      </w:r>
    </w:p>
    <w:sectPr>
      <w:headerReference w:type="default" r:id="rId2"/>
      <w:footerReference w:type="default" r:id="rId3"/>
      <w:type w:val="nextPage"/>
      <w:pgSz w:w="12240" w:h="15840"/>
      <w:pgMar w:left="1800" w:right="1800" w:gutter="0" w:header="720" w:top="1620" w:footer="934"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r>
  </w:p>
  <w:p>
    <w:pPr>
      <w:pStyle w:val="Footer"/>
      <w:jc w:val="center"/>
      <w:rPr/>
    </w:pPr>
    <w:r>
      <w:rPr/>
    </w:r>
  </w:p>
  <w:p>
    <w:pPr>
      <w:pStyle w:val="Footer"/>
      <w:jc w:val="center"/>
      <w:rPr/>
    </w:pPr>
    <w:r>
      <w:rPr/>
      <w:drawing>
        <wp:inline distT="0" distB="0" distL="0" distR="0">
          <wp:extent cx="1476375" cy="257175"/>
          <wp:effectExtent l="0" t="0" r="0" b="0"/>
          <wp:docPr id="2"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 title=""/>
                  <pic:cNvPicPr>
                    <a:picLocks noChangeAspect="1" noChangeArrowheads="1"/>
                  </pic:cNvPicPr>
                </pic:nvPicPr>
                <pic:blipFill>
                  <a:blip r:embed="rId1"/>
                  <a:srcRect l="-24" t="-140" r="-24" b="-140"/>
                  <a:stretch>
                    <a:fillRect/>
                  </a:stretch>
                </pic:blipFill>
                <pic:spPr bwMode="auto">
                  <a:xfrm>
                    <a:off x="0" y="0"/>
                    <a:ext cx="1476375" cy="257175"/>
                  </a:xfrm>
                  <a:prstGeom prst="rect">
                    <a:avLst/>
                  </a:prstGeom>
                  <a:noFill/>
                </pic:spPr>
              </pic:pic>
            </a:graphicData>
          </a:graphic>
        </wp:inline>
      </w:drawing>
    </w:r>
    <w:r>
      <w:rPr/>
      <w:tab/>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r>
      <mc:AlternateContent>
        <mc:Choice Requires="wps">
          <w:drawing>
            <wp:anchor behindDoc="1" distT="0" distB="0" distL="114935" distR="114935" simplePos="0" locked="0" layoutInCell="1" allowOverlap="1" relativeHeight="7">
              <wp:simplePos x="0" y="0"/>
              <wp:positionH relativeFrom="column">
                <wp:posOffset>-50165</wp:posOffset>
              </wp:positionH>
              <wp:positionV relativeFrom="paragraph">
                <wp:posOffset>-4445</wp:posOffset>
              </wp:positionV>
              <wp:extent cx="5586730" cy="283210"/>
              <wp:effectExtent l="0" t="0" r="0" b="0"/>
              <wp:wrapNone/>
              <wp:docPr id="1" name="Frame1"/>
              <a:graphic xmlns:a="http://schemas.openxmlformats.org/drawingml/2006/main">
                <a:graphicData uri="http://schemas.microsoft.com/office/word/2010/wordprocessingShape">
                  <wps:wsp>
                    <wps:cNvSpPr txBox="1"/>
                    <wps:spPr>
                      <a:xfrm>
                        <a:off x="0" y="0"/>
                        <a:ext cx="5586730" cy="283210"/>
                      </a:xfrm>
                      <a:prstGeom prst="rect"/>
                      <a:solidFill>
                        <a:srgbClr val="0000FF"/>
                      </a:solidFill>
                      <a:ln w="9525">
                        <a:solidFill>
                          <a:srgbClr val="000000"/>
                        </a:solidFill>
                      </a:ln>
                    </wps:spPr>
                    <wps:txbx>
                      <w:txbxContent>
                        <w:p>
                          <w:pPr>
                            <w:pStyle w:val="Heading4"/>
                            <w:rPr>
                              <w:color w:val="FFFFFF"/>
                            </w:rPr>
                          </w:pPr>
                          <w:r>
                            <w:rPr>
                              <w:color w:val="FFFFFF"/>
                            </w:rPr>
                            <w:t>Proprietary &amp; Confidential Information For Discussion Only; Not an Offer</w:t>
                          </w:r>
                        </w:p>
                      </w:txbxContent>
                    </wps:txbx>
                    <wps:bodyPr anchor="t" lIns="91440" tIns="45720" rIns="91440" bIns="45720">
                      <a:noAutofit/>
                    </wps:bodyPr>
                  </wps:wsp>
                </a:graphicData>
              </a:graphic>
            </wp:anchor>
          </w:drawing>
        </mc:Choice>
        <mc:Fallback>
          <w:pict>
            <v:rect fillcolor="#0000FF" strokecolor="#000000" strokeweight="0pt" style="position:absolute;rotation:-0;width:439.9pt;height:22.3pt;mso-wrap-distance-left:9.05pt;mso-wrap-distance-right:9.05pt;mso-wrap-distance-top:0pt;mso-wrap-distance-bottom:0pt;margin-top:-0.35pt;mso-position-vertical-relative:text;margin-left:-3.95pt;mso-position-horizontal-relative:text">
              <v:textbox>
                <w:txbxContent>
                  <w:p>
                    <w:pPr>
                      <w:pStyle w:val="Heading4"/>
                      <w:rPr>
                        <w:color w:val="FFFFFF"/>
                      </w:rPr>
                    </w:pPr>
                    <w:r>
                      <w:rPr>
                        <w:color w:val="FFFFFF"/>
                      </w:rPr>
                      <w:t>Proprietary &amp; Confidential Information For Discussion Only; Not an Offer</w:t>
                    </w:r>
                  </w:p>
                </w:txbxContent>
              </v:textbox>
              <w10:wrap type="none"/>
            </v:rect>
          </w:pict>
        </mc:Fallback>
      </mc:AlternateContent>
    </w:r>
  </w:p>
  <w:p>
    <w:pPr>
      <w:pStyle w:val="Header"/>
      <w:jc w:val="end"/>
      <w:rPr>
        <w:b/>
      </w:rPr>
    </w:pPr>
    <w:r>
      <w:rPr>
        <w:b/>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2002-03-22T20:37:00Z</dcterms:created>
  <dc:creator>Michael J. Curry</dc:creator>
  <dc:description/>
  <dc:language>en-CA</dc:language>
  <cp:lastModifiedBy>Mike Curry</cp:lastModifiedBy>
  <cp:lastPrinted>2002-03-22T17:08:00Z</cp:lastPrinted>
  <dcterms:modified xsi:type="dcterms:W3CDTF">2002-03-22T20:39:00Z</dcterms:modified>
  <cp:revision>4</cp:revision>
  <dc:subject/>
  <dc:title>Dave,  Here is an indicative three year proposal for your consideration:</dc:title>
</cp:coreProperties>
</file>