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ab/>
        <w:tab/>
        <w:tab/>
        <w:tab/>
        <w:t>Confidential and Privileged</w:t>
        <w:tab/>
      </w:r>
    </w:p>
    <w:p>
      <w:pPr>
        <w:pStyle w:val="Normal"/>
        <w:rPr>
          <w:sz w:val="24"/>
        </w:rPr>
      </w:pPr>
      <w:r>
        <w:rPr>
          <w:sz w:val="24"/>
        </w:rPr>
        <w:tab/>
        <w:tab/>
        <w:tab/>
        <w:tab/>
        <w:tab/>
        <w:t>Attorney Work Product</w:t>
      </w:r>
    </w:p>
    <w:p>
      <w:pPr>
        <w:pStyle w:val="Heading1"/>
        <w:ind w:hanging="0" w:start="0"/>
        <w:rPr>
          <w:u w:val="single"/>
        </w:rPr>
      </w:pPr>
      <w:r>
        <w:rPr>
          <w:u w:val="single"/>
        </w:rPr>
      </w:r>
    </w:p>
    <w:p>
      <w:pPr>
        <w:pStyle w:val="Normal"/>
        <w:rPr/>
      </w:pPr>
      <w:r>
        <w:rPr/>
        <w:tab/>
        <w:tab/>
        <w:tab/>
        <w:tab/>
      </w:r>
      <w:r>
        <w:rPr>
          <w:sz w:val="28"/>
        </w:rPr>
        <w:t>MEMORANDUM</w:t>
      </w:r>
    </w:p>
    <w:p>
      <w:pPr>
        <w:pStyle w:val="Normal"/>
        <w:rPr>
          <w:sz w:val="28"/>
        </w:rPr>
      </w:pPr>
      <w:r>
        <w:rPr>
          <w:sz w:val="28"/>
        </w:rPr>
      </w:r>
    </w:p>
    <w:p>
      <w:pPr>
        <w:pStyle w:val="Normal"/>
        <w:rPr>
          <w:sz w:val="24"/>
        </w:rPr>
      </w:pPr>
      <w:r>
        <w:rPr>
          <w:sz w:val="24"/>
        </w:rPr>
      </w:r>
    </w:p>
    <w:p>
      <w:pPr>
        <w:pStyle w:val="Normal"/>
        <w:rPr>
          <w:sz w:val="24"/>
        </w:rPr>
      </w:pPr>
      <w:r>
        <w:rPr>
          <w:sz w:val="24"/>
        </w:rPr>
        <w:t>To: Mark Haedicke</w:t>
      </w:r>
    </w:p>
    <w:p>
      <w:pPr>
        <w:pStyle w:val="Normal"/>
        <w:rPr>
          <w:sz w:val="24"/>
        </w:rPr>
      </w:pPr>
      <w:r>
        <w:rPr>
          <w:sz w:val="24"/>
        </w:rPr>
        <w:t>From:  Alan Larsen</w:t>
      </w:r>
    </w:p>
    <w:p>
      <w:pPr>
        <w:pStyle w:val="Normal"/>
        <w:rPr>
          <w:sz w:val="24"/>
        </w:rPr>
      </w:pPr>
      <w:r>
        <w:rPr>
          <w:sz w:val="24"/>
        </w:rPr>
        <w:t>Date: August 15, 2000</w:t>
      </w:r>
    </w:p>
    <w:p>
      <w:pPr>
        <w:pStyle w:val="Heading1"/>
        <w:ind w:hanging="0" w:start="0"/>
        <w:rPr/>
      </w:pPr>
      <w:r>
        <w:rPr/>
        <w:t>Re:  EPMI/ Bonneville Power Administration Contract</w:t>
      </w:r>
    </w:p>
    <w:p>
      <w:pPr>
        <w:pStyle w:val="Normal"/>
        <w:rPr/>
      </w:pPr>
      <w:r>
        <w:rPr/>
      </w:r>
    </w:p>
    <w:p>
      <w:pPr>
        <w:pStyle w:val="Heading1"/>
        <w:ind w:hanging="0" w:start="0"/>
        <w:rPr>
          <w:u w:val="single"/>
        </w:rPr>
      </w:pPr>
      <w:r>
        <w:rPr>
          <w:u w:val="single"/>
        </w:rPr>
        <w:t>Factual Background</w:t>
      </w:r>
    </w:p>
    <w:p>
      <w:pPr>
        <w:pStyle w:val="Normal"/>
        <w:rPr>
          <w:u w:val="single"/>
        </w:rPr>
      </w:pPr>
      <w:r>
        <w:rPr>
          <w:u w:val="single"/>
        </w:rPr>
      </w:r>
    </w:p>
    <w:p>
      <w:pPr>
        <w:pStyle w:val="Heading1"/>
        <w:ind w:hanging="0" w:start="0"/>
        <w:rPr/>
      </w:pPr>
      <w:r>
        <w:rPr/>
        <w:t>Enron Power Marketing, Inc. executed a contract with the Bonneville Power Administration, dated July 14, 1997, (BPA Contract No. 97PB-10123).  The contract provides for sale and purchase of firm power to be sold by BPA under its FPS-96 rate schedule, for delivery of up to 105 MW and associated energy, from September 30, 2001 through December 31, 2005.  In recent conversations with Enron, BPA account representatives have stated that they do not believe BPA is obligated to perform under the contract.</w:t>
      </w:r>
    </w:p>
    <w:p>
      <w:pPr>
        <w:pStyle w:val="Normal"/>
        <w:rPr>
          <w:sz w:val="24"/>
        </w:rPr>
      </w:pPr>
      <w:r>
        <w:rPr>
          <w:sz w:val="24"/>
        </w:rPr>
      </w:r>
    </w:p>
    <w:p>
      <w:pPr>
        <w:pStyle w:val="Heading1"/>
        <w:ind w:hanging="0" w:start="0"/>
        <w:rPr>
          <w:u w:val="single"/>
        </w:rPr>
      </w:pPr>
      <w:r>
        <w:rPr>
          <w:u w:val="single"/>
        </w:rPr>
        <w:t>Issue</w:t>
      </w:r>
    </w:p>
    <w:p>
      <w:pPr>
        <w:pStyle w:val="Normal"/>
        <w:rPr>
          <w:sz w:val="24"/>
          <w:u w:val="single"/>
        </w:rPr>
      </w:pPr>
      <w:r>
        <w:rPr>
          <w:sz w:val="24"/>
          <w:u w:val="single"/>
        </w:rPr>
      </w:r>
    </w:p>
    <w:p>
      <w:pPr>
        <w:pStyle w:val="Normal"/>
        <w:rPr/>
      </w:pPr>
      <w:r>
        <w:rPr>
          <w:sz w:val="24"/>
        </w:rPr>
        <w:t>Enron believes it has a valid, enforceable contract with BPA.  As in most contract disputes, this case raises issues of the substantive merits of the positions of the parties to the contract, and the likelihood of prevailing in litigation.  This memorandum does not address those issues.</w:t>
      </w:r>
      <w:r>
        <w:rPr>
          <w:rStyle w:val="FootnoteCharacters"/>
          <w:rStyle w:val="FootnoteReference"/>
          <w:sz w:val="24"/>
        </w:rPr>
        <w:footnoteReference w:id="2"/>
      </w:r>
      <w:r>
        <w:rPr>
          <w:sz w:val="24"/>
        </w:rPr>
        <w:t xml:space="preserve">  However, because the contract is with BPA, this case presents an additional, potentially overriding, issue:  Is there any statutory or regulatory limitation on BPA performing what would otherwise appear to be clear obligations under the contract itself?</w:t>
      </w:r>
    </w:p>
    <w:p>
      <w:pPr>
        <w:pStyle w:val="Normal"/>
        <w:rPr>
          <w:sz w:val="24"/>
        </w:rPr>
      </w:pPr>
      <w:r>
        <w:rPr>
          <w:sz w:val="24"/>
        </w:rPr>
      </w:r>
    </w:p>
    <w:p>
      <w:pPr>
        <w:pStyle w:val="Heading2"/>
        <w:ind w:hanging="0" w:start="0"/>
        <w:rPr/>
      </w:pPr>
      <w:r>
        <w:rPr/>
        <w:t>Conclusion</w:t>
      </w:r>
    </w:p>
    <w:p>
      <w:pPr>
        <w:pStyle w:val="Normal"/>
        <w:rPr/>
      </w:pPr>
      <w:r>
        <w:rPr/>
      </w:r>
    </w:p>
    <w:p>
      <w:pPr>
        <w:pStyle w:val="Normal"/>
        <w:rPr/>
      </w:pPr>
      <w:r>
        <w:rPr>
          <w:sz w:val="24"/>
        </w:rPr>
        <w:t>There is no statutory or regulatory provision or principle that excuses BPA from performing under this contract.  However, there are several arguments based on BPA’s statutory authority and obligations that BPA is likely to invoke in dealing with Enron and in court if the matter is litigated.  Those arguments</w:t>
      </w:r>
      <w:r>
        <w:rPr/>
        <w:t xml:space="preserve"> </w:t>
      </w:r>
      <w:r>
        <w:rPr>
          <w:sz w:val="24"/>
        </w:rPr>
        <w:t>would lead this case directly into the 9</w:t>
      </w:r>
      <w:r>
        <w:rPr>
          <w:sz w:val="24"/>
          <w:vertAlign w:val="superscript"/>
        </w:rPr>
        <w:t>th</w:t>
      </w:r>
      <w:r>
        <w:rPr>
          <w:sz w:val="24"/>
        </w:rPr>
        <w:t xml:space="preserve"> Circuit’s precedents granting substantial substantive and procedural deference to BPA that we have previously discussed.</w:t>
      </w:r>
    </w:p>
    <w:p>
      <w:pPr>
        <w:pStyle w:val="Normal"/>
        <w:rPr>
          <w:sz w:val="24"/>
        </w:rPr>
      </w:pPr>
      <w:r>
        <w:rPr>
          <w:sz w:val="24"/>
        </w:rPr>
      </w:r>
    </w:p>
    <w:p>
      <w:pPr>
        <w:pStyle w:val="Heading2"/>
        <w:ind w:hanging="0" w:start="0"/>
        <w:rPr/>
      </w:pPr>
      <w:r>
        <w:rPr/>
        <w:t>Discussion</w:t>
      </w:r>
    </w:p>
    <w:p>
      <w:pPr>
        <w:pStyle w:val="Normal"/>
        <w:rPr>
          <w:sz w:val="24"/>
        </w:rPr>
      </w:pPr>
      <w:r>
        <w:rPr>
          <w:sz w:val="24"/>
        </w:rPr>
      </w:r>
    </w:p>
    <w:p>
      <w:pPr>
        <w:pStyle w:val="Normal"/>
        <w:rPr/>
      </w:pPr>
      <w:r>
        <w:rPr/>
        <w:tab/>
      </w:r>
      <w:r>
        <w:rPr>
          <w:u w:val="single"/>
        </w:rPr>
        <w:t>Statutory Mandates</w:t>
      </w:r>
    </w:p>
    <w:p>
      <w:pPr>
        <w:pStyle w:val="Normal"/>
        <w:rPr>
          <w:u w:val="single"/>
        </w:rPr>
      </w:pPr>
      <w:r>
        <w:rPr>
          <w:u w:val="single"/>
        </w:rPr>
      </w:r>
    </w:p>
    <w:p>
      <w:pPr>
        <w:pStyle w:val="Normal"/>
        <w:ind w:firstLine="720" w:end="0"/>
        <w:rPr/>
      </w:pPr>
      <w:r>
        <w:rPr/>
        <w:t xml:space="preserve">BPA’s initial, primary and continuing power marketing mandate is contained in the Bonneville Project Act, 16 USC 832 et seq. Section 4(a) of the Act is referred to as the “preference clause”.  It states that in disposing of its electric energy the BPA must at all times “give preference and priority to public bodies and cooperatives”.  Further, section 5(a) of the Act provides that sales to non-preference customers must be made pursuant to a contract that provides for cancellation by BPA on five years’ notice if “in the judgement of the administrator” the power would be needed to “satisfy the requirements of said public bodies and cooperatives”.  </w:t>
      </w:r>
    </w:p>
    <w:p>
      <w:pPr>
        <w:pStyle w:val="Normal"/>
        <w:rPr/>
      </w:pPr>
      <w:r>
        <w:rPr/>
      </w:r>
    </w:p>
    <w:p>
      <w:pPr>
        <w:pStyle w:val="Normal"/>
        <w:rPr/>
      </w:pPr>
      <w:r>
        <w:rPr/>
        <w:tab/>
        <w:t xml:space="preserve">A considerable body of official policy has developed to interpret these provisions over a course of 60 years.  Much of it is captured in Opinions by BPA’s general counsel (previously called Regional Solicitor).  Among the principles developed are that BPA cannot execute a contract with a non-preference entity if there is a reasonable possibility that a public body would need the power before the contract with the non-public entity expires. (Opinion of  3/30/48).  The public preference requirement applies to all BPA sales of electric power, not just one product such as firm power. (Opinion of 3/5/56).  However, the judgement about the reasonably foreseeable requirements of preference customers is based on the prospective need, judged at the time BPA is called upon to make a decision, not a second guessing of a past action at some future date when circumstances have changed. So, a new preference customer would not have a right to power previously committed to an industrial customer where the industrial contracts were  prudent when executed. (Op. Of 10/31/74).  </w:t>
      </w:r>
    </w:p>
    <w:p>
      <w:pPr>
        <w:pStyle w:val="Normal"/>
        <w:rPr/>
      </w:pPr>
      <w:r>
        <w:rPr/>
      </w:r>
    </w:p>
    <w:p>
      <w:pPr>
        <w:pStyle w:val="Normal"/>
        <w:rPr/>
      </w:pPr>
      <w:r>
        <w:rPr/>
        <w:tab/>
        <w:t xml:space="preserve">In the mid-1960s, BPA faced more demand for its power than it had resources to serve all interested potential customers.  Direct service industrial customers, such as aluminum and pulp and paper plants, requested service.    The Office of Regional Solicitor enunciated a number of policies applicable in that situation:  The Bonneville Project Act requires preference be given to preference customers when competing applications from non-preference customers are submitted.   BPA must reasonably anticipate the future load growth of preference customers, and reserve power to meet the need of those customers.  Such a reservation must be made not only with respect to normal load growth but also for anticipated acquisition or construction of facilities by preference customers.  Therefore, the opinion concluded, BPA would violate the Bonneville Project Act if it “should contract to serve new industrial loads at a time when the sales of the same type of power to preference customers are being restricted because of insufficient resources”. (Op. of 3/21/68). The preference concepts embodied in these BPA legal opinions have been upheld in a variety of court decisions as well. </w:t>
      </w:r>
    </w:p>
    <w:p>
      <w:pPr>
        <w:pStyle w:val="Normal"/>
        <w:rPr/>
      </w:pPr>
      <w:r>
        <w:rPr/>
      </w:r>
    </w:p>
    <w:p>
      <w:pPr>
        <w:pStyle w:val="Normal"/>
        <w:rPr/>
      </w:pPr>
      <w:r>
        <w:rPr/>
        <w:tab/>
        <w:t xml:space="preserve">As an ultimate result of demand for BPA’s power exceeding supply, and the exclusion of access by certain categories of customers due to the public preference clause, Congress adopted the Northwest Power Act of 1980 (16 USC 839 et seq.), giving some additional access to BPA power to IOUs and direct industrial customers.  However, section 5(a) of that act expressly incorporated and preserved the preference clause of the Bonneville Project Act.  Thus, BPA remained subject to all of the pre-Northwest Power Act preference requirements.  </w:t>
      </w:r>
    </w:p>
    <w:p>
      <w:pPr>
        <w:pStyle w:val="Normal"/>
        <w:rPr/>
      </w:pPr>
      <w:r>
        <w:rPr/>
      </w:r>
    </w:p>
    <w:p>
      <w:pPr>
        <w:pStyle w:val="Normal"/>
        <w:rPr/>
      </w:pPr>
      <w:r>
        <w:rPr/>
        <w:tab/>
        <w:t xml:space="preserve">In the mid-1990s, BPA faced the reverse marketing situation:  there was less demand for its electric power than it had product to sell. The 1996 Energy and Water Development Appropriations Act (H.R. 1905) included in section 508 substantive language addressing BPA’s authority to sell federal power. The Act defined a category of power known as “Excess Federal Power”.  This is power that has become surplus to BPA’s firm contractual obligations because BPA customers in the Pacific Northwest had elected to purchase power from suppliers other than BPA.  The Act permitted BPA to sell that Excess Federal Power outside the Pacific Northwest (e.g. to California) on a firm basis for a term not to exceed 7 years </w:t>
      </w:r>
      <w:r>
        <w:rPr>
          <w:u w:val="single"/>
        </w:rPr>
        <w:t>if</w:t>
      </w:r>
      <w:r>
        <w:rPr/>
        <w:t xml:space="preserve"> the power were first offered for a reasonable time and at the same rate and under the same conditions to Pacific Northwest customers.  The Act also permitted BPA to sell anywhere (inside the region or out) without prohibitions on resale that are included in the Bonneville Project Act.    </w:t>
      </w:r>
    </w:p>
    <w:p>
      <w:pPr>
        <w:pStyle w:val="Normal"/>
        <w:rPr/>
      </w:pPr>
      <w:r>
        <w:rPr/>
        <w:tab/>
      </w:r>
    </w:p>
    <w:p>
      <w:pPr>
        <w:pStyle w:val="Normal"/>
        <w:rPr/>
      </w:pPr>
      <w:r>
        <w:rPr/>
        <w:tab/>
      </w:r>
      <w:r>
        <w:rPr>
          <w:u w:val="single"/>
        </w:rPr>
        <w:t>Rate Requirements</w:t>
      </w:r>
    </w:p>
    <w:p>
      <w:pPr>
        <w:pStyle w:val="Normal"/>
        <w:rPr/>
      </w:pPr>
      <w:r>
        <w:rPr/>
      </w:r>
    </w:p>
    <w:p>
      <w:pPr>
        <w:pStyle w:val="Normal"/>
        <w:rPr/>
      </w:pPr>
      <w:r>
        <w:rPr/>
        <w:tab/>
        <w:t xml:space="preserve">The EPMI contract with BPA is for firm power to be purchased under BPA’s Firm Power Products and Services Schedule, FPS-96, or its successor schedule.  By incorporating that reference into the contract, the EPMI purchase is subject to the terms and conditions of the rate schedule.  The schedule provides that it is available for purchase of firm power for use inside and outside the Pacific Northwest, but that BPA is not obligated to make power or energy available under the schedule if it would displace other sales to regional customers.  The schedule also provides that sales under it are pursuant to BPA’s “General Rate Schedule Provisions”, essentially a set of boilerplate provisions applicable to all BPA rates. </w:t>
        <w:tab/>
      </w:r>
    </w:p>
    <w:p>
      <w:pPr>
        <w:pStyle w:val="Normal"/>
        <w:rPr/>
      </w:pPr>
      <w:r>
        <w:rPr/>
      </w:r>
    </w:p>
    <w:p>
      <w:pPr>
        <w:pStyle w:val="Normal"/>
        <w:rPr/>
      </w:pPr>
      <w:r>
        <w:rPr/>
        <w:tab/>
        <w:t>BPA’s contract with EPMI states that “Except as expressly set forth in this Agreement” the rate for power under the contract “is not subject to change except by mutual agreement” (section 5(a) of contract).  However, as noted in  the preceding paragraph, the contract does “expressly…set forth” the provision that the sale is under the FPS-96 rate schedule.  That schedule is subject to change via a rate proceeding at BPA’s instigation.  In fact, BPA will argue that it is required to provide for such rate revision, and therefore the meaning of that reference in the contract to the sale being under the FPS schedule is precisely that: a notice that the rate term, if nothing else, is subject to modification.</w:t>
      </w:r>
    </w:p>
    <w:p>
      <w:pPr>
        <w:pStyle w:val="Normal"/>
        <w:rPr/>
      </w:pPr>
      <w:r>
        <w:rPr/>
      </w:r>
    </w:p>
    <w:p>
      <w:pPr>
        <w:pStyle w:val="Normal"/>
        <w:rPr/>
      </w:pPr>
      <w:r>
        <w:rPr/>
        <w:tab/>
      </w:r>
      <w:r>
        <w:rPr>
          <w:u w:val="single"/>
        </w:rPr>
        <w:t>Other Regulatory Factors</w:t>
      </w:r>
    </w:p>
    <w:p>
      <w:pPr>
        <w:pStyle w:val="Normal"/>
        <w:rPr/>
      </w:pPr>
      <w:r>
        <w:rPr/>
      </w:r>
    </w:p>
    <w:p>
      <w:pPr>
        <w:pStyle w:val="Normal"/>
        <w:rPr/>
      </w:pPr>
      <w:r>
        <w:rPr/>
        <w:tab/>
        <w:t>In May 2000, BPA issued a “Policy on Determining Net Requirements of Pacific Northwest Utility Customers Under Sections  5(b)(1) and 9(c) of the Northwest Power Act”.  This is a statement by BPA  of the  manner it intends to implement its statutory obligation to serve its regional utility customers’ requirements  and its sales to regional customers who, in turn, make sales outside the region.  First of all, it is possible that BPA would argue that this policy directly controls some aspect of the transactions under the EPMI/BPA contract.  More relevant, however, is information from BPA’s customers that, using this new policy, BPA has told them that contracts which they entered into with BPA in 1997 will be subject to certain restrictions or performance by BPA that the customers believe was not intended or contemplated when the contracts were executed.  In short, BPA has adopted a policy based on current circumstances and is attempting to carry out (or evade) obligations under existing contracts based not on the negotiated terms of the contract, but rather on the basis of a “policy” that BPA says controls.  These customers are now litigating in the 9</w:t>
      </w:r>
      <w:r>
        <w:rPr>
          <w:vertAlign w:val="superscript"/>
        </w:rPr>
        <w:t>th</w:t>
      </w:r>
      <w:r>
        <w:rPr/>
        <w:t xml:space="preserve"> Circuit over what they thought were clear contract rights.</w:t>
      </w:r>
    </w:p>
    <w:p>
      <w:pPr>
        <w:pStyle w:val="Normal"/>
        <w:rPr/>
      </w:pPr>
      <w:r>
        <w:rPr/>
      </w:r>
    </w:p>
    <w:p>
      <w:pPr>
        <w:pStyle w:val="Heading2"/>
        <w:ind w:hanging="0" w:start="0"/>
        <w:rPr/>
      </w:pPr>
      <w:r>
        <w:rPr/>
        <w:t>Analysis</w:t>
      </w:r>
    </w:p>
    <w:p>
      <w:pPr>
        <w:pStyle w:val="Normal"/>
        <w:rPr/>
      </w:pPr>
      <w:r>
        <w:rPr/>
      </w:r>
    </w:p>
    <w:p>
      <w:pPr>
        <w:pStyle w:val="Normal"/>
        <w:rPr/>
      </w:pPr>
      <w:r>
        <w:rPr/>
        <w:tab/>
        <w:t>What is the import of these preference concepts for the EPMI/BPA contract?  There clearly are obligations, not merely  authority, for  BPA to market its power consistent with principles that give special protection to one class of customers over another.    The  risk is that BPA will assert that it has statutory obligations to its regional public body customers, and as such, all BPA contracts must be read in light of those obligation.  While the motivation for evading its obligations under the EPMI contract may be purely commercial, i.e. a change of demand relative to supply of BPA’s power, and a resulting change in the price BPA could obtain for that power, the justification would be those obligations.</w:t>
      </w:r>
    </w:p>
    <w:p>
      <w:pPr>
        <w:pStyle w:val="Normal"/>
        <w:rPr/>
      </w:pPr>
      <w:r>
        <w:rPr/>
      </w:r>
    </w:p>
    <w:p>
      <w:pPr>
        <w:pStyle w:val="Normal"/>
        <w:ind w:firstLine="720" w:end="0"/>
        <w:rPr/>
      </w:pPr>
      <w:r>
        <w:rPr/>
        <w:t>A court (especially the 9</w:t>
      </w:r>
      <w:r>
        <w:rPr>
          <w:vertAlign w:val="superscript"/>
        </w:rPr>
        <w:t>th</w:t>
      </w:r>
      <w:r>
        <w:rPr/>
        <w:t xml:space="preserve"> Circuit, acting in its unaccustomed and unwanted role as court of initial jurisdiction) will turn to BPA to explain what that means.  BPA would then argue that it writes its contracts, and develops its rate schedules with its statutory obligations in mind, and therefore those contracts and rate schedules must be interpreted to give effect to the statutory obligations.  What are those statutory obligations?  The courts give deference to the  expert implementing agency to answer that question. This obviously amounts to a tremendous litigation advantage.  </w:t>
      </w:r>
    </w:p>
    <w:p>
      <w:pPr>
        <w:pStyle w:val="Normal"/>
        <w:rPr/>
      </w:pPr>
      <w:r>
        <w:rPr/>
      </w:r>
    </w:p>
    <w:p>
      <w:pPr>
        <w:pStyle w:val="Normal"/>
        <w:ind w:firstLine="720" w:end="0"/>
        <w:rPr/>
      </w:pPr>
      <w:r>
        <w:rPr/>
        <w:t xml:space="preserve">The proper response to such arguments, if BPA makes them, is that the EPMI contract was executed entirely consistently with BPA’s statutory requirements.  </w:t>
      </w:r>
      <w:r>
        <w:rPr>
          <w:u w:val="single"/>
        </w:rPr>
        <w:t>At the time</w:t>
      </w:r>
      <w:r>
        <w:rPr/>
        <w:t xml:space="preserve">  the contract was executed there were no competing applications from preference customers for the power.  BPA offered and had no takers.  It was not foreseeable that preference customers would require that amount of power within the term of the contract; in fact, at that time, customers were trying to get out of their own existing BPA contracts.  There was no need to reserve power because BPA could not even sell what it had.  The fact that market conditions have changed today does not make BPA’s action at the time imprudent or illegal, and does not provide any basis for terminating the contract or failing to perform under it.  </w:t>
      </w:r>
    </w:p>
    <w:p>
      <w:pPr>
        <w:pStyle w:val="Normal"/>
        <w:rPr/>
      </w:pPr>
      <w:r>
        <w:rPr/>
      </w:r>
    </w:p>
    <w:p>
      <w:pPr>
        <w:pStyle w:val="Normal"/>
        <w:rPr/>
      </w:pPr>
      <w:r>
        <w:rPr/>
      </w:r>
    </w:p>
    <w:p>
      <w:pPr>
        <w:pStyle w:val="Heading2"/>
        <w:ind w:hanging="0" w:start="0"/>
        <w:rPr/>
      </w:pPr>
      <w:r>
        <w:rPr/>
        <w:t>Summary</w:t>
      </w:r>
    </w:p>
    <w:p>
      <w:pPr>
        <w:pStyle w:val="Normal"/>
        <w:rPr/>
      </w:pPr>
      <w:r>
        <w:rPr/>
      </w:r>
    </w:p>
    <w:p>
      <w:pPr>
        <w:pStyle w:val="BodyTextIndent"/>
        <w:rPr/>
      </w:pPr>
      <w:r>
        <w:rPr/>
        <w:t xml:space="preserve">In summary, my judgement is that none of these statutory or regulatory peculiarities relating to BPA provide any basis for its failing to perform under the contract (again, raising the caveat that there are vulnerabilities to our substantive position on the commercial terms of the contract itself).  For purposes of in-house litigation analysis however, having the correct response to BPA’s arguments on these statutory or regulatory issues is not the end of the analysis.  We need to be aware that BPA is likely to raise such objections (initially) or defenses (subsequently) to Enron’s position that BPA is required to perform under the contract, and we need to be aware of the degree of success BPA has had in similar situations in the past.  </w:t>
      </w:r>
    </w:p>
    <w:p>
      <w:pPr>
        <w:pStyle w:val="Normal"/>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With regard to substantive merits, Enron faces at least the following issues:  Is the </w:t>
      </w:r>
      <w:r>
        <w:rPr>
          <w:u w:val="single"/>
        </w:rPr>
        <w:t>existence</w:t>
      </w:r>
      <w:r>
        <w:rPr/>
        <w:t xml:space="preserve"> of an underlying Enron contract to deliver power to James River (Fort James) a condition precedent to an obligation of BPA to perform;  Has retail wheeling been “provided” to James River, and if so, does that preclude delivery to any point other than Wauna Substation; and is Enron entitled to take delivery at an alternative point other than by invoking section 4(b) of the contract (the unavailability of retail wheeling for James River at Wauna)?  With regard to litigation risk issues, there are a range of issues not present in typical cases that arise out of special statutory requirements related to BPA, including jurisdiction and venue provisions of the Northwest Power Act (16 USC 839 et seq.), and substantial case law arising out of BPA litigation.  The end result of result of these provisions and precedent is substantial deference to BPA decisions and actions that reduce the probability of prevailing below that normally indicated by an evaluation of the substantive strength of the case.  This memo does not address the substantive strengths nor the procedural hurdles of our case under this contract.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2000-08-14T13:32:00Z</dcterms:created>
  <dc:creator>alarsen2</dc:creator>
  <dc:description/>
  <dc:language>en-CA</dc:language>
  <cp:lastModifiedBy>alarsen2</cp:lastModifiedBy>
  <cp:lastPrinted>2000-08-14T17:58:00Z</cp:lastPrinted>
  <dcterms:modified xsi:type="dcterms:W3CDTF">2000-08-14T22:32:00Z</dcterms:modified>
  <cp:revision>4</cp:revision>
  <dc:subject/>
  <dc:title>Factual Background</dc:title>
</cp:coreProperties>
</file>