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WP-02 JCG Data Response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Request No.:</w:t>
        <w:tab/>
      </w:r>
      <w:r>
        <w:rPr/>
        <w:t>BPA-JCG:05</w:t>
      </w:r>
    </w:p>
    <w:p>
      <w:pPr>
        <w:pStyle w:val="Normal"/>
        <w:rPr/>
      </w:pPr>
      <w:r>
        <w:rPr>
          <w:b/>
        </w:rPr>
        <w:t>Request:</w:t>
      </w:r>
      <w:r>
        <w:rPr/>
        <w:tab/>
        <w:t>Witnesses:</w:t>
        <w:tab/>
        <w:t>Brattebo et al.</w:t>
      </w:r>
    </w:p>
    <w:p>
      <w:pPr>
        <w:pStyle w:val="Normal"/>
        <w:rPr/>
      </w:pPr>
      <w:r>
        <w:rPr/>
        <w:tab/>
        <w:tab/>
        <w:t>Exhibit:</w:t>
        <w:tab/>
        <w:t>WP-02-E-JCG-02</w:t>
      </w:r>
    </w:p>
    <w:p>
      <w:pPr>
        <w:pStyle w:val="Normal"/>
        <w:ind w:firstLine="720" w:start="2160" w:end="0"/>
        <w:rPr/>
      </w:pPr>
      <w:r>
        <w:rPr/>
        <w:t>Red-line of definition no. 19 on pg. 5 of Attachment B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Please explain how you propose to define non-Slice load for purposes of calculating monthly augmentation amounts for the LB CRAC calculations.  Please provide an explanation.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Response: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See the response to BPA-JCG:04.  This relocation of the definition is not intended to change BPA’s process of forecasting Non-Slice Load.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21,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</w:t>
        <w:tab/>
        <w:t xml:space="preserve">Hearing Clerk and Service List (via electronic mail)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widowControl w:val="false"/>
    </w:pPr>
    <w:rPr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FooterSmallPrint">
    <w:name w:val="FooterSmallPrint"/>
    <w:basedOn w:val="Normal"/>
    <w:next w:val="Normal"/>
    <w:qFormat/>
    <w:pPr/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96dtars_.dot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2001-03-21T21:20:00Z</dcterms:created>
  <dc:creator>Jan Prewitt</dc:creator>
  <dc:description>prepared 1/7/96</dc:description>
  <dc:language>en-CA</dc:language>
  <cp:lastModifiedBy>kbe</cp:lastModifiedBy>
  <cp:lastPrinted>2001-03-21T14:39:00Z</cp:lastPrinted>
  <dcterms:modified xsi:type="dcterms:W3CDTF">2001-03-21T21:20:00Z</dcterms:modified>
  <cp:revision>2</cp:revision>
  <dc:subject>Revisions to Gilman responses</dc:subject>
  <dc:title>WP - 96 BPA Data Response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 </vt:lpwstr>
  </property>
</Properties>
</file>