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BONDING LANGUAGE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ABX 1 clean-up legislation is necessary: to ensure the viability of direct access and to provide additional oversight of DWR spending.   ABX 1 did not provide a dedicated rate component to bondholders and is making the sale of bonds more difficult.  The state could and will sell bonds under its existing authority, however, clean-up language would ensure that direct access remains a viable alternative.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Defines “Administrative costs” and provides that those costs must be appropriated for in the annual budget act whereas ABX 1 had no such provisions.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Defines “Revenue requirements” and specifies that revenue must be used to pay the actual costs of purchasing power whereas ABX 1 allowed DWR to use revenue for a variety of other purposes.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Provides that the CPUC shall review DWR revenue requirements and provide for one public hearing with comment whereas ABX 1 provided limited oversight.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Provides that the costs for consultants must be appropriated for in the annual budget act whereas ABX 1 had no such provisions.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Provides that DWR may purchase bonds up to $13.4 billion whereas ABX 1 provided that DWR could not purchase bonds for greater than $13.4 billion.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2001-07-05T15:35:00Z</dcterms:created>
  <dc:creator>Scott Govenar</dc:creator>
  <dc:description/>
  <dc:language>en-CA</dc:language>
  <cp:lastModifiedBy>Scott Govenar</cp:lastModifiedBy>
  <cp:lastPrinted>2001-07-05T14:10:00Z</cp:lastPrinted>
  <dcterms:modified xsi:type="dcterms:W3CDTF">2001-07-05T19:11:00Z</dcterms:modified>
  <cp:revision>2</cp:revision>
  <dc:subject/>
  <dc:title>BONDING LANGUAGE</dc:title>
</cp:coreProperties>
</file>