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autoSpaceDE w:val="false"/>
        <w:spacing w:lineRule="exact" w:line="320"/>
        <w:jc w:val="center"/>
        <w:rPr/>
      </w:pPr>
      <w:r>
        <w:rPr>
          <w:rFonts w:eastAsia="돋움체"/>
          <w:b/>
          <w:color w:val="000000"/>
          <w:sz w:val="24"/>
        </w:rPr>
        <w:t>SK-ENRON C</w:t>
      </w:r>
      <w:r>
        <w:rPr>
          <w:rFonts w:eastAsia="돋움체"/>
          <w:b/>
          <w:color w:val="000000"/>
          <w:sz w:val="24"/>
        </w:rPr>
        <w:t>O</w:t>
      </w:r>
      <w:r>
        <w:rPr>
          <w:rFonts w:eastAsia="돋움체"/>
          <w:b/>
          <w:color w:val="000000"/>
          <w:sz w:val="24"/>
        </w:rPr>
        <w:t>.,</w:t>
      </w:r>
      <w:r>
        <w:rPr>
          <w:rFonts w:eastAsia="돋움체"/>
          <w:b/>
          <w:color w:val="000000"/>
          <w:sz w:val="24"/>
        </w:rPr>
        <w:t xml:space="preserve"> </w:t>
      </w:r>
      <w:r>
        <w:rPr>
          <w:rFonts w:eastAsia="돋움체"/>
          <w:b/>
          <w:color w:val="000000"/>
          <w:sz w:val="24"/>
        </w:rPr>
        <w:t>L</w:t>
      </w:r>
      <w:r>
        <w:rPr>
          <w:rFonts w:eastAsia="돋움체"/>
          <w:b/>
          <w:color w:val="000000"/>
          <w:sz w:val="24"/>
        </w:rPr>
        <w:t>TD.</w:t>
      </w:r>
    </w:p>
    <w:p>
      <w:pPr>
        <w:pStyle w:val="Heading2"/>
        <w:keepNext w:val="false"/>
        <w:widowControl/>
        <w:spacing w:lineRule="exact" w:line="320"/>
        <w:ind w:start="0" w:end="0"/>
        <w:rPr/>
      </w:pPr>
      <w:r>
        <w:rPr>
          <w:rFonts w:ascii="Times New Roman" w:hAnsi="Times New Roman"/>
          <w:b/>
        </w:rPr>
        <w:t xml:space="preserve">MINUTES OF </w:t>
      </w:r>
      <w:r>
        <w:rPr>
          <w:rFonts w:ascii="Times New Roman" w:hAnsi="Times New Roman"/>
          <w:b/>
        </w:rPr>
        <w:t xml:space="preserve">THE FORTH </w:t>
      </w:r>
      <w:r>
        <w:rPr>
          <w:rFonts w:ascii="Times New Roman" w:hAnsi="Times New Roman"/>
          <w:b/>
        </w:rPr>
        <w:t>BOARD OF DIRECTORS’ MEETING</w:t>
      </w:r>
      <w:r>
        <w:rPr>
          <w:rFonts w:ascii="Times New Roman" w:hAnsi="Times New Roman"/>
          <w:b/>
        </w:rPr>
        <w:t xml:space="preserve"> of 2001</w:t>
      </w:r>
    </w:p>
    <w:p>
      <w:pPr>
        <w:pStyle w:val="Normal"/>
        <w:widowControl/>
        <w:autoSpaceDE w:val="false"/>
        <w:spacing w:lineRule="exact" w:line="320"/>
        <w:rPr>
          <w:rFonts w:ascii="Times New Roman" w:hAnsi="Times New Roman" w:eastAsia="돋움체"/>
          <w:b/>
          <w:color w:val="000000"/>
          <w:sz w:val="24"/>
        </w:rPr>
      </w:pPr>
      <w:r>
        <w:rPr>
          <w:rFonts w:eastAsia="돋움체"/>
          <w:b/>
          <w:color w:val="000000"/>
          <w:sz w:val="24"/>
        </w:rPr>
      </w:r>
    </w:p>
    <w:p>
      <w:pPr>
        <w:pStyle w:val="Normal"/>
        <w:widowControl/>
        <w:autoSpaceDE w:val="false"/>
        <w:spacing w:lineRule="exact" w:line="320"/>
        <w:rPr>
          <w:rFonts w:eastAsia="돋움체"/>
          <w:color w:val="000000"/>
          <w:sz w:val="24"/>
        </w:rPr>
      </w:pPr>
      <w:r>
        <w:rPr>
          <w:rFonts w:eastAsia="돋움체"/>
          <w:color w:val="000000"/>
          <w:sz w:val="24"/>
        </w:rPr>
        <w:t>A Board of Directors’ Meeting of the Company was held as follows:</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tabs>
          <w:tab w:val="clear" w:pos="720"/>
          <w:tab w:val="left" w:pos="2200" w:leader="none"/>
        </w:tabs>
        <w:autoSpaceDE w:val="false"/>
        <w:spacing w:lineRule="exact" w:line="320"/>
        <w:ind w:hanging="2200" w:start="2200" w:end="0"/>
        <w:rPr>
          <w:rFonts w:eastAsia="돋움체"/>
          <w:color w:val="000000"/>
          <w:sz w:val="24"/>
        </w:rPr>
      </w:pPr>
      <w:r>
        <w:rPr>
          <w:rFonts w:eastAsia="돋움체"/>
          <w:color w:val="000000"/>
          <w:sz w:val="24"/>
        </w:rPr>
        <w:t>Date and time:</w:t>
      </w:r>
      <w:r>
        <w:rPr>
          <w:rFonts w:eastAsia="돋움체"/>
          <w:color w:val="000000"/>
          <w:sz w:val="24"/>
        </w:rPr>
        <w:tab/>
        <w:t>May</w:t>
      </w:r>
      <w:r>
        <w:rPr>
          <w:sz w:val="24"/>
        </w:rPr>
        <w:t xml:space="preserve"> 22, 2001 at 9:30 am</w:t>
      </w:r>
    </w:p>
    <w:p>
      <w:pPr>
        <w:pStyle w:val="Normal"/>
        <w:rPr/>
      </w:pPr>
      <w:r>
        <w:rPr>
          <w:rFonts w:eastAsia="돋움체"/>
          <w:color w:val="000000"/>
          <w:sz w:val="24"/>
        </w:rPr>
        <w:t>Place:</w:t>
      </w:r>
      <w:r>
        <w:rPr>
          <w:rFonts w:eastAsia="돋움체"/>
          <w:color w:val="000000"/>
          <w:sz w:val="24"/>
        </w:rPr>
        <w:tab/>
        <w:tab/>
        <w:tab/>
      </w:r>
      <w:r>
        <w:rPr>
          <w:sz w:val="24"/>
        </w:rPr>
        <w:t>Conference Room, 47</w:t>
      </w:r>
      <w:r>
        <w:rPr>
          <w:sz w:val="24"/>
          <w:vertAlign w:val="superscript"/>
        </w:rPr>
        <w:t>th</w:t>
      </w:r>
      <w:r>
        <w:rPr>
          <w:sz w:val="24"/>
        </w:rPr>
        <w:t xml:space="preserve"> Floor of KLI Building</w:t>
      </w:r>
    </w:p>
    <w:p>
      <w:pPr>
        <w:pStyle w:val="Normal"/>
        <w:widowControl/>
        <w:tabs>
          <w:tab w:val="clear" w:pos="720"/>
          <w:tab w:val="left" w:pos="2200" w:leader="none"/>
        </w:tabs>
        <w:autoSpaceDE w:val="false"/>
        <w:spacing w:lineRule="exact" w:line="320"/>
        <w:ind w:hanging="2200" w:start="2200" w:end="0"/>
        <w:rPr>
          <w:rFonts w:eastAsia="돋움체"/>
          <w:color w:val="000000"/>
          <w:sz w:val="24"/>
        </w:rPr>
      </w:pPr>
      <w:r>
        <w:rPr>
          <w:sz w:val="24"/>
        </w:rPr>
        <w:tab/>
        <w:t xml:space="preserve">At 60, Yoido-dong, Yongdungpo-gu, Seoul </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tabs>
          <w:tab w:val="clear" w:pos="720"/>
          <w:tab w:val="left" w:pos="3600" w:leader="none"/>
        </w:tabs>
        <w:autoSpaceDE w:val="false"/>
        <w:spacing w:lineRule="exact" w:line="320"/>
        <w:ind w:hanging="3600" w:start="3600" w:end="0"/>
        <w:rPr/>
      </w:pPr>
      <w:r>
        <w:rPr>
          <w:rFonts w:eastAsia="돋움체"/>
          <w:color w:val="000000"/>
          <w:sz w:val="24"/>
        </w:rPr>
        <w:t xml:space="preserve">Total </w:t>
      </w:r>
      <w:r>
        <w:rPr>
          <w:rFonts w:eastAsia="돋움체"/>
          <w:color w:val="000000"/>
          <w:sz w:val="24"/>
        </w:rPr>
        <w:t>n</w:t>
      </w:r>
      <w:r>
        <w:rPr>
          <w:rFonts w:eastAsia="돋움체"/>
          <w:color w:val="000000"/>
          <w:sz w:val="24"/>
        </w:rPr>
        <w:t>umber of Directors</w:t>
      </w:r>
      <w:r>
        <w:rPr>
          <w:rFonts w:eastAsia="돋움체"/>
          <w:color w:val="000000"/>
          <w:sz w:val="24"/>
        </w:rPr>
        <w:t xml:space="preserve"> in office</w:t>
      </w:r>
      <w:r>
        <w:rPr>
          <w:rFonts w:eastAsia="돋움체"/>
          <w:color w:val="000000"/>
          <w:sz w:val="24"/>
        </w:rPr>
        <w:t>:</w:t>
      </w:r>
      <w:r>
        <w:rPr>
          <w:rFonts w:eastAsia="돋움체"/>
          <w:color w:val="000000"/>
          <w:sz w:val="24"/>
        </w:rPr>
        <w:tab/>
      </w:r>
      <w:r>
        <w:rPr>
          <w:rFonts w:eastAsia="돋움체"/>
          <w:color w:val="000000"/>
          <w:sz w:val="24"/>
        </w:rPr>
        <w:t>6</w:t>
      </w:r>
    </w:p>
    <w:p>
      <w:pPr>
        <w:pStyle w:val="Normal"/>
        <w:widowControl/>
        <w:tabs>
          <w:tab w:val="clear" w:pos="720"/>
          <w:tab w:val="left" w:pos="3600" w:leader="none"/>
        </w:tabs>
        <w:autoSpaceDE w:val="false"/>
        <w:spacing w:lineRule="exact" w:line="320"/>
        <w:ind w:hanging="3600" w:start="3600" w:end="0"/>
        <w:rPr/>
      </w:pPr>
      <w:r>
        <w:rPr>
          <w:rFonts w:eastAsia="돋움체"/>
          <w:color w:val="000000"/>
          <w:sz w:val="24"/>
        </w:rPr>
        <w:t>Total n</w:t>
      </w:r>
      <w:r>
        <w:rPr>
          <w:rFonts w:eastAsia="돋움체"/>
          <w:color w:val="000000"/>
          <w:sz w:val="24"/>
        </w:rPr>
        <w:t>umber of Directors present:</w:t>
      </w:r>
      <w:r>
        <w:rPr>
          <w:rFonts w:eastAsia="돋움체"/>
          <w:color w:val="000000"/>
          <w:sz w:val="24"/>
        </w:rPr>
        <w:tab/>
      </w:r>
    </w:p>
    <w:p>
      <w:pPr>
        <w:pStyle w:val="Normal"/>
        <w:widowControl/>
        <w:tabs>
          <w:tab w:val="clear" w:pos="720"/>
          <w:tab w:val="left" w:pos="3600" w:leader="none"/>
        </w:tabs>
        <w:autoSpaceDE w:val="false"/>
        <w:spacing w:lineRule="exact" w:line="320"/>
        <w:ind w:hanging="3600" w:start="3600" w:end="0"/>
        <w:rPr>
          <w:sz w:val="24"/>
        </w:rPr>
      </w:pPr>
      <w:r>
        <w:rPr>
          <w:rFonts w:eastAsia="돋움체"/>
          <w:color w:val="000000"/>
          <w:sz w:val="24"/>
        </w:rPr>
        <w:t>Absent Director</w:t>
      </w:r>
      <w:r>
        <w:rPr>
          <w:rFonts w:eastAsia="돋움체"/>
          <w:color w:val="000000"/>
          <w:sz w:val="24"/>
        </w:rPr>
        <w:t>s</w:t>
      </w:r>
      <w:r>
        <w:rPr>
          <w:rFonts w:eastAsia="돋움체"/>
          <w:color w:val="000000"/>
          <w:sz w:val="24"/>
        </w:rPr>
        <w:t>:</w:t>
      </w:r>
      <w:r>
        <w:rPr>
          <w:rFonts w:eastAsia="돋움체"/>
          <w:color w:val="000000"/>
          <w:sz w:val="24"/>
        </w:rPr>
        <w:tab/>
      </w:r>
    </w:p>
    <w:p>
      <w:pPr>
        <w:pStyle w:val="Normal"/>
        <w:widowControl/>
        <w:tabs>
          <w:tab w:val="clear" w:pos="720"/>
          <w:tab w:val="left" w:pos="3600" w:leader="none"/>
        </w:tabs>
        <w:autoSpaceDE w:val="false"/>
        <w:spacing w:lineRule="exact" w:line="320"/>
        <w:ind w:hanging="3600" w:start="3600" w:end="0"/>
        <w:rPr/>
      </w:pPr>
      <w:r>
        <w:rPr>
          <w:rFonts w:eastAsia="돋움체"/>
          <w:color w:val="000000"/>
          <w:sz w:val="24"/>
        </w:rPr>
        <w:t xml:space="preserve">Total number of </w:t>
      </w:r>
      <w:r>
        <w:rPr>
          <w:rFonts w:eastAsia="돋움체"/>
          <w:color w:val="000000"/>
          <w:sz w:val="24"/>
        </w:rPr>
        <w:t>Auditors</w:t>
      </w:r>
      <w:r>
        <w:rPr>
          <w:rFonts w:eastAsia="돋움체"/>
          <w:color w:val="000000"/>
          <w:sz w:val="24"/>
        </w:rPr>
        <w:t xml:space="preserve"> in office</w:t>
      </w:r>
      <w:r>
        <w:rPr>
          <w:rFonts w:eastAsia="돋움체"/>
          <w:color w:val="000000"/>
          <w:sz w:val="24"/>
        </w:rPr>
        <w:t>:</w:t>
      </w:r>
      <w:r>
        <w:rPr>
          <w:rFonts w:eastAsia="돋움체"/>
          <w:color w:val="000000"/>
          <w:sz w:val="24"/>
        </w:rPr>
        <w:tab/>
        <w:t>2</w:t>
      </w:r>
    </w:p>
    <w:p>
      <w:pPr>
        <w:pStyle w:val="Normal"/>
        <w:widowControl/>
        <w:tabs>
          <w:tab w:val="clear" w:pos="720"/>
          <w:tab w:val="left" w:pos="3600" w:leader="none"/>
        </w:tabs>
        <w:autoSpaceDE w:val="false"/>
        <w:spacing w:lineRule="exact" w:line="320"/>
        <w:ind w:hanging="3600" w:start="3600" w:end="0"/>
        <w:rPr>
          <w:rFonts w:eastAsia="돋움체"/>
          <w:color w:val="000000"/>
          <w:sz w:val="24"/>
        </w:rPr>
      </w:pPr>
      <w:r>
        <w:rPr>
          <w:rFonts w:eastAsia="돋움체"/>
          <w:color w:val="000000"/>
          <w:sz w:val="24"/>
        </w:rPr>
        <w:t>Total number of Auditors present:</w:t>
        <w:tab/>
      </w:r>
    </w:p>
    <w:p>
      <w:pPr>
        <w:pStyle w:val="Normal"/>
        <w:widowControl/>
        <w:tabs>
          <w:tab w:val="clear" w:pos="720"/>
          <w:tab w:val="left" w:pos="3600" w:leader="none"/>
        </w:tabs>
        <w:autoSpaceDE w:val="false"/>
        <w:spacing w:lineRule="exact" w:line="320"/>
        <w:ind w:hanging="3600" w:start="3600" w:end="0"/>
        <w:rPr>
          <w:sz w:val="24"/>
        </w:rPr>
      </w:pPr>
      <w:r>
        <w:rPr>
          <w:rFonts w:eastAsia="돋움체"/>
          <w:color w:val="000000"/>
          <w:sz w:val="24"/>
        </w:rPr>
        <w:t xml:space="preserve">Absent </w:t>
      </w:r>
      <w:r>
        <w:rPr>
          <w:rFonts w:eastAsia="돋움체"/>
          <w:color w:val="000000"/>
          <w:sz w:val="24"/>
        </w:rPr>
        <w:t>Auditors</w:t>
      </w:r>
      <w:r>
        <w:rPr>
          <w:rFonts w:eastAsia="돋움체"/>
          <w:color w:val="000000"/>
          <w:sz w:val="24"/>
        </w:rPr>
        <w:t>:</w:t>
      </w:r>
      <w:r>
        <w:rPr>
          <w:rFonts w:eastAsia="돋움체"/>
          <w:color w:val="000000"/>
          <w:sz w:val="24"/>
        </w:rPr>
        <w:tab/>
      </w:r>
    </w:p>
    <w:p>
      <w:pPr>
        <w:pStyle w:val="Normal"/>
        <w:widowControl/>
        <w:tabs>
          <w:tab w:val="clear" w:pos="720"/>
          <w:tab w:val="left" w:pos="3600" w:leader="none"/>
        </w:tabs>
        <w:autoSpaceDE w:val="false"/>
        <w:spacing w:lineRule="exact" w:line="320"/>
        <w:ind w:hanging="3600" w:start="3600" w:end="0"/>
        <w:rPr>
          <w:rFonts w:eastAsia="돋움체"/>
          <w:color w:val="000000"/>
          <w:sz w:val="24"/>
        </w:rPr>
      </w:pPr>
      <w:r>
        <w:rPr>
          <w:rFonts w:eastAsia="돋움체"/>
          <w:color w:val="000000"/>
          <w:sz w:val="24"/>
        </w:rPr>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autoSpaceDE w:val="false"/>
        <w:spacing w:lineRule="exact" w:line="320"/>
        <w:rPr/>
      </w:pPr>
      <w:r>
        <w:rPr>
          <w:rFonts w:eastAsia="돋움체"/>
          <w:color w:val="000000"/>
          <w:sz w:val="24"/>
        </w:rPr>
        <w:tab/>
        <w:t xml:space="preserve">The Chairman, Joint Representative Director Mr. </w:t>
      </w:r>
      <w:r>
        <w:rPr>
          <w:sz w:val="24"/>
        </w:rPr>
        <w:t>Darrell W. Kinder</w:t>
      </w:r>
      <w:r>
        <w:rPr>
          <w:rFonts w:eastAsia="돋움체"/>
          <w:color w:val="000000"/>
          <w:sz w:val="24"/>
        </w:rPr>
        <w:t>, took the chair and opened the meeting, declaring that the meeting was lawfully constituted with a quorum present.</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autoSpaceDE w:val="false"/>
        <w:spacing w:lineRule="exact" w:line="320"/>
        <w:rPr>
          <w:rFonts w:eastAsia="돋움체"/>
          <w:color w:val="000000"/>
          <w:sz w:val="24"/>
        </w:rPr>
      </w:pPr>
      <w:r>
        <w:rPr>
          <w:rFonts w:eastAsia="돋움체"/>
          <w:color w:val="000000"/>
          <w:sz w:val="24"/>
        </w:rPr>
        <w:tab/>
        <w:t>Then, the following items were submitted, considered and approved:</w:t>
      </w:r>
    </w:p>
    <w:p>
      <w:pPr>
        <w:pStyle w:val="Normal"/>
        <w:rPr>
          <w:rFonts w:eastAsia="돋움체"/>
          <w:color w:val="000000"/>
          <w:sz w:val="24"/>
        </w:rPr>
      </w:pPr>
      <w:r>
        <w:rPr>
          <w:rFonts w:eastAsia="돋움체"/>
          <w:color w:val="000000"/>
          <w:sz w:val="24"/>
        </w:rPr>
      </w:r>
    </w:p>
    <w:p>
      <w:pPr>
        <w:pStyle w:val="Normal"/>
        <w:keepNext w:val="true"/>
        <w:keepLines/>
        <w:widowControl/>
        <w:tabs>
          <w:tab w:val="clear" w:pos="720"/>
          <w:tab w:val="left" w:pos="1800" w:leader="none"/>
        </w:tabs>
        <w:autoSpaceDE w:val="false"/>
        <w:spacing w:lineRule="exact" w:line="320"/>
        <w:ind w:hanging="1800" w:start="1800" w:end="0"/>
        <w:rPr/>
      </w:pPr>
      <w:r>
        <w:rPr>
          <w:rFonts w:eastAsia="돋움체"/>
          <w:b/>
          <w:color w:val="000000"/>
          <w:sz w:val="24"/>
          <w:u w:val="single"/>
        </w:rPr>
        <w:t>Resolution</w:t>
      </w:r>
      <w:r>
        <w:rPr>
          <w:rFonts w:eastAsia="돋움체"/>
          <w:b/>
          <w:color w:val="000000"/>
          <w:sz w:val="24"/>
          <w:u w:val="single"/>
        </w:rPr>
        <w:t xml:space="preserve"> 1</w:t>
        <w:tab/>
        <w:t>Approval of Corporate Bond Issuance</w:t>
      </w:r>
    </w:p>
    <w:p>
      <w:pPr>
        <w:pStyle w:val="Normal"/>
        <w:widowControl/>
        <w:spacing w:lineRule="exact" w:line="320"/>
        <w:jc w:val="start"/>
        <w:rPr>
          <w:rFonts w:eastAsia="돋움체"/>
          <w:b/>
          <w:color w:val="000000"/>
          <w:sz w:val="24"/>
          <w:u w:val="single"/>
        </w:rPr>
      </w:pPr>
      <w:r>
        <w:rPr>
          <w:rFonts w:eastAsia="돋움체"/>
          <w:b/>
          <w:color w:val="000000"/>
          <w:sz w:val="24"/>
          <w:u w:val="single"/>
        </w:rPr>
      </w:r>
    </w:p>
    <w:p>
      <w:pPr>
        <w:pStyle w:val="Normal"/>
        <w:ind w:firstLine="720" w:end="0"/>
        <w:rPr>
          <w:rFonts w:eastAsia="돋움체"/>
          <w:color w:val="000000"/>
          <w:sz w:val="24"/>
        </w:rPr>
      </w:pPr>
      <w:r>
        <w:rPr>
          <w:rFonts w:eastAsia="돋움체"/>
          <w:sz w:val="24"/>
        </w:rPr>
        <w:tab/>
        <w:t xml:space="preserve"> </w:t>
      </w:r>
      <w:r>
        <w:rPr>
          <w:sz w:val="24"/>
        </w:rPr>
        <w:t xml:space="preserve">The </w:t>
      </w:r>
      <w:r>
        <w:rPr>
          <w:sz w:val="24"/>
        </w:rPr>
        <w:t xml:space="preserve">first </w:t>
      </w:r>
      <w:r>
        <w:rPr>
          <w:sz w:val="24"/>
        </w:rPr>
        <w:t>matter to come before the Board</w:t>
      </w:r>
      <w:r>
        <w:rPr>
          <w:rFonts w:eastAsia="돋움체"/>
          <w:color w:val="000000"/>
          <w:sz w:val="24"/>
        </w:rPr>
        <w:t xml:space="preserve"> </w:t>
      </w:r>
      <w:r>
        <w:rPr>
          <w:rFonts w:eastAsia="돋움체"/>
          <w:color w:val="000000"/>
          <w:sz w:val="24"/>
        </w:rPr>
        <w:t xml:space="preserve">was the approval of issuing bond with total face value of 30 billion Korean Won in order to redeem 30 billion loan of Kookmin Bank. </w:t>
      </w:r>
      <w:r>
        <w:rPr>
          <w:color w:val="000000"/>
          <w:sz w:val="24"/>
        </w:rPr>
        <w:t xml:space="preserve">After review and due deliberation, the </w:t>
      </w:r>
      <w:r>
        <w:rPr>
          <w:color w:val="000000"/>
          <w:sz w:val="24"/>
        </w:rPr>
        <w:t>D</w:t>
      </w:r>
      <w:r>
        <w:rPr>
          <w:color w:val="000000"/>
          <w:sz w:val="24"/>
        </w:rPr>
        <w:t xml:space="preserve">irectors present unanimously approved </w:t>
      </w:r>
      <w:r>
        <w:rPr>
          <w:color w:val="000000"/>
          <w:sz w:val="24"/>
        </w:rPr>
        <w:t xml:space="preserve">the issuance of corporate bond </w:t>
      </w:r>
      <w:r>
        <w:rPr>
          <w:rFonts w:eastAsia="돋움체"/>
          <w:color w:val="000000"/>
          <w:sz w:val="24"/>
        </w:rPr>
        <w:t>with the following terms and conditions</w:t>
      </w:r>
      <w:r>
        <w:rPr>
          <w:rFonts w:eastAsia="돋움체"/>
          <w:color w:val="000000"/>
          <w:sz w:val="24"/>
        </w:rPr>
        <w:t>:</w:t>
      </w:r>
      <w:r>
        <w:rPr>
          <w:sz w:val="24"/>
        </w:rPr>
        <w:t xml:space="preserve"> </w:t>
      </w:r>
    </w:p>
    <w:p>
      <w:pPr>
        <w:pStyle w:val="Normal"/>
        <w:widowControl/>
        <w:autoSpaceDE w:val="false"/>
        <w:spacing w:lineRule="exact" w:line="320"/>
        <w:ind w:start="800" w:end="0"/>
        <w:rPr>
          <w:rFonts w:eastAsia="돋움체"/>
          <w:color w:val="000000"/>
          <w:sz w:val="24"/>
        </w:rPr>
      </w:pPr>
      <w:r>
        <w:rPr>
          <w:rFonts w:eastAsia="돋움체"/>
          <w:color w:val="000000"/>
          <w:sz w:val="24"/>
        </w:rPr>
      </w:r>
    </w:p>
    <w:p>
      <w:pPr>
        <w:pStyle w:val="Normal"/>
        <w:tabs>
          <w:tab w:val="clear" w:pos="720"/>
          <w:tab w:val="left" w:pos="2520" w:leader="none"/>
        </w:tabs>
        <w:spacing w:before="180" w:after="0"/>
        <w:ind w:start="360" w:end="0"/>
        <w:rPr/>
      </w:pPr>
      <w:r>
        <w:rPr>
          <w:sz w:val="24"/>
        </w:rPr>
        <w:t xml:space="preserve">1. Bonds Name </w:t>
      </w:r>
      <w:r>
        <w:rPr>
          <w:sz w:val="24"/>
          <w:lang w:eastAsia="ja-JP"/>
        </w:rPr>
        <w:t>:</w:t>
        <w:tab/>
      </w:r>
      <w:r>
        <w:rPr>
          <w:sz w:val="24"/>
        </w:rPr>
        <w:t>1</w:t>
      </w:r>
      <w:r>
        <w:rPr>
          <w:sz w:val="24"/>
          <w:vertAlign w:val="superscript"/>
        </w:rPr>
        <w:t>st</w:t>
      </w:r>
      <w:r>
        <w:rPr>
          <w:sz w:val="24"/>
        </w:rPr>
        <w:t xml:space="preserve"> Non-guaranteed bond issued by </w:t>
      </w:r>
      <w:r>
        <w:rPr>
          <w:sz w:val="24"/>
          <w:lang w:eastAsia="ja-JP"/>
        </w:rPr>
        <w:t>SK-</w:t>
      </w:r>
      <w:r>
        <w:rPr>
          <w:sz w:val="24"/>
          <w:lang w:eastAsia="ja-JP"/>
        </w:rPr>
        <w:t>Enron</w:t>
      </w:r>
      <w:r>
        <w:rPr>
          <w:sz w:val="24"/>
          <w:lang w:eastAsia="ja-JP"/>
        </w:rPr>
        <w:t xml:space="preserve"> Co.</w:t>
      </w:r>
      <w:r>
        <w:rPr>
          <w:sz w:val="24"/>
          <w:lang w:eastAsia="ja-JP"/>
        </w:rPr>
        <w:t>, Ltd.</w:t>
      </w:r>
    </w:p>
    <w:p>
      <w:pPr>
        <w:pStyle w:val="Normal"/>
        <w:tabs>
          <w:tab w:val="clear" w:pos="720"/>
          <w:tab w:val="left" w:pos="2520" w:leader="none"/>
        </w:tabs>
        <w:spacing w:before="180" w:after="0"/>
        <w:ind w:start="360" w:end="0"/>
        <w:rPr>
          <w:sz w:val="24"/>
        </w:rPr>
      </w:pPr>
      <w:r>
        <w:rPr>
          <w:sz w:val="24"/>
        </w:rPr>
        <w:t>2. Bonds Type :</w:t>
        <w:tab/>
        <w:t>Bearer , Coupon and non-guaranteed Bond</w:t>
      </w:r>
    </w:p>
    <w:p>
      <w:pPr>
        <w:pStyle w:val="Normal"/>
        <w:tabs>
          <w:tab w:val="clear" w:pos="720"/>
          <w:tab w:val="left" w:pos="2520" w:leader="none"/>
        </w:tabs>
        <w:spacing w:before="180" w:after="0"/>
        <w:ind w:start="360" w:end="0"/>
        <w:rPr/>
      </w:pPr>
      <w:r>
        <w:rPr>
          <w:sz w:val="24"/>
        </w:rPr>
        <w:t>3. Face Value</w:t>
      </w:r>
      <w:r>
        <w:rPr>
          <w:sz w:val="24"/>
          <w:lang w:eastAsia="ja-JP"/>
        </w:rPr>
        <w:t>:</w:t>
        <w:tab/>
        <w:t>KRW</w:t>
      </w:r>
      <w:r>
        <w:rPr>
          <w:sz w:val="24"/>
        </w:rPr>
        <w:t xml:space="preserve"> 3</w:t>
      </w:r>
      <w:r>
        <w:rPr>
          <w:sz w:val="24"/>
          <w:lang w:eastAsia="ja-JP"/>
        </w:rPr>
        <w:t>0,000,000,000</w:t>
      </w:r>
    </w:p>
    <w:p>
      <w:pPr>
        <w:pStyle w:val="Normal"/>
        <w:tabs>
          <w:tab w:val="clear" w:pos="720"/>
          <w:tab w:val="left" w:pos="2520" w:leader="none"/>
        </w:tabs>
        <w:spacing w:before="180" w:after="0"/>
        <w:ind w:start="360" w:end="0"/>
        <w:rPr/>
      </w:pPr>
      <w:r>
        <w:rPr>
          <w:sz w:val="24"/>
        </w:rPr>
        <w:t>4. Issuance Yield:</w:t>
        <w:tab/>
        <w:t xml:space="preserve">3yrs corporate bond rate (A+ rating) as of one day prior to closing     </w:t>
        <w:tab/>
        <w:t xml:space="preserve">date minus </w:t>
      </w:r>
      <w:r>
        <w:rPr>
          <w:bCs/>
          <w:sz w:val="24"/>
        </w:rPr>
        <w:t>0.32%</w:t>
      </w:r>
      <w:r>
        <w:rPr>
          <w:sz w:val="24"/>
        </w:rPr>
        <w:t xml:space="preserve"> </w:t>
      </w:r>
    </w:p>
    <w:p>
      <w:pPr>
        <w:pStyle w:val="Normal"/>
        <w:tabs>
          <w:tab w:val="clear" w:pos="720"/>
          <w:tab w:val="left" w:pos="2520" w:leader="none"/>
        </w:tabs>
        <w:spacing w:before="180" w:after="0"/>
        <w:ind w:hanging="2100" w:start="2500" w:end="0"/>
        <w:rPr/>
      </w:pPr>
      <w:r>
        <w:rPr>
          <w:sz w:val="24"/>
        </w:rPr>
        <w:t>5. Interest Rate:</w:t>
        <w:tab/>
        <w:t xml:space="preserve">7% p.a. of the total face value from the bond issuance date to one day prior to the redemption date of the Bonds, provided that if such interest rate is different from the </w:t>
      </w:r>
      <w:r>
        <w:rPr>
          <w:sz w:val="24"/>
        </w:rPr>
        <w:t>interest</w:t>
      </w:r>
      <w:r>
        <w:rPr>
          <w:sz w:val="24"/>
        </w:rPr>
        <w:t xml:space="preserve"> rate published by Korea Securities Dealers Association as of the subscription date, then the interest rate shall be such other interest rate published as of the subscription date. </w:t>
      </w:r>
    </w:p>
    <w:p>
      <w:pPr>
        <w:pStyle w:val="Normal"/>
        <w:tabs>
          <w:tab w:val="clear" w:pos="720"/>
          <w:tab w:val="left" w:pos="2520" w:leader="none"/>
        </w:tabs>
        <w:spacing w:before="180" w:after="0"/>
        <w:ind w:hanging="2240" w:start="2600" w:end="0"/>
        <w:rPr>
          <w:sz w:val="24"/>
        </w:rPr>
      </w:pPr>
      <w:r>
        <w:rPr>
          <w:sz w:val="24"/>
        </w:rPr>
        <w:t>6. Method of Issuance:</w:t>
        <w:tab/>
        <w:t>The bonds shall be issued as registered bonds and no bond certificates shall be issued.</w:t>
      </w:r>
    </w:p>
    <w:p>
      <w:pPr>
        <w:pStyle w:val="Normal"/>
        <w:tabs>
          <w:tab w:val="clear" w:pos="720"/>
          <w:tab w:val="left" w:pos="2520" w:leader="none"/>
        </w:tabs>
        <w:spacing w:before="180" w:after="0"/>
        <w:ind w:hanging="2156" w:start="2516" w:end="0"/>
        <w:rPr>
          <w:sz w:val="24"/>
          <w:lang w:eastAsia="ja-JP"/>
        </w:rPr>
      </w:pPr>
      <w:r>
        <w:rPr>
          <w:sz w:val="24"/>
        </w:rPr>
        <w:t>7. Mat</w:t>
      </w:r>
      <w:r>
        <w:rPr>
          <w:sz w:val="24"/>
          <w:lang w:eastAsia="ja-JP"/>
        </w:rPr>
        <w:t>urity</w:t>
      </w:r>
      <w:r>
        <w:rPr>
          <w:sz w:val="24"/>
        </w:rPr>
        <w:t xml:space="preserve"> and Repayment: </w:t>
      </w:r>
      <w:r>
        <w:rPr>
          <w:sz w:val="24"/>
          <w:lang w:eastAsia="ja-JP"/>
        </w:rPr>
        <w:tab/>
      </w:r>
      <w:r>
        <w:rPr>
          <w:sz w:val="24"/>
          <w:lang w:eastAsia="ja-JP"/>
        </w:rPr>
        <w:t>Three</w:t>
      </w:r>
      <w:r>
        <w:rPr>
          <w:sz w:val="24"/>
          <w:lang w:eastAsia="ja-JP"/>
        </w:rPr>
        <w:t xml:space="preserve"> years from the date of issuance</w:t>
      </w:r>
      <w:r>
        <w:rPr>
          <w:sz w:val="24"/>
        </w:rPr>
        <w:t xml:space="preserve"> and bullet</w:t>
      </w:r>
      <w:r>
        <w:rPr>
          <w:sz w:val="24"/>
          <w:lang w:eastAsia="ja-JP"/>
        </w:rPr>
        <w:t>.</w:t>
      </w:r>
    </w:p>
    <w:p>
      <w:pPr>
        <w:pStyle w:val="Normal"/>
        <w:tabs>
          <w:tab w:val="clear" w:pos="720"/>
          <w:tab w:val="left" w:pos="2520" w:leader="none"/>
        </w:tabs>
        <w:spacing w:before="180" w:after="0"/>
        <w:ind w:start="360" w:end="0"/>
        <w:rPr>
          <w:sz w:val="24"/>
        </w:rPr>
      </w:pPr>
      <w:r>
        <w:rPr>
          <w:sz w:val="24"/>
        </w:rPr>
        <w:t xml:space="preserve">8. </w:t>
      </w:r>
      <w:r>
        <w:rPr>
          <w:sz w:val="24"/>
          <w:lang w:eastAsia="ja-JP"/>
        </w:rPr>
        <w:t>Interest Payment:</w:t>
        <w:tab/>
      </w:r>
    </w:p>
    <w:p>
      <w:pPr>
        <w:pStyle w:val="Normal"/>
        <w:numPr>
          <w:ilvl w:val="0"/>
          <w:numId w:val="2"/>
        </w:numPr>
        <w:tabs>
          <w:tab w:val="clear" w:pos="720"/>
          <w:tab w:val="left" w:pos="2520" w:leader="none"/>
        </w:tabs>
        <w:spacing w:before="180" w:after="0"/>
        <w:rPr>
          <w:sz w:val="24"/>
        </w:rPr>
      </w:pPr>
      <w:r>
        <w:rPr>
          <w:sz w:val="24"/>
        </w:rPr>
        <w:t>Interest shall accrue from the bond issuance date to one day prior to the redemption date of the bonds and shall be payable every three months in arrears.</w:t>
      </w:r>
    </w:p>
    <w:p>
      <w:pPr>
        <w:pStyle w:val="Normal"/>
        <w:numPr>
          <w:ilvl w:val="0"/>
          <w:numId w:val="2"/>
        </w:numPr>
        <w:tabs>
          <w:tab w:val="clear" w:pos="720"/>
          <w:tab w:val="left" w:pos="2520" w:leader="none"/>
        </w:tabs>
        <w:spacing w:before="180" w:after="0"/>
        <w:rPr>
          <w:sz w:val="24"/>
        </w:rPr>
      </w:pPr>
      <w:r>
        <w:rPr>
          <w:sz w:val="24"/>
        </w:rPr>
        <w:t>In case the interest payment date falls on a holiday on which banks are closed, then interest payment shall be made on the next business day and no interest shall accrue on any unpaid interest after the interest payment date.</w:t>
      </w:r>
    </w:p>
    <w:p>
      <w:pPr>
        <w:pStyle w:val="Normal"/>
        <w:tabs>
          <w:tab w:val="clear" w:pos="720"/>
          <w:tab w:val="left" w:pos="2520" w:leader="none"/>
        </w:tabs>
        <w:spacing w:before="180" w:after="0"/>
        <w:ind w:hanging="6698" w:start="6698" w:end="0"/>
        <w:rPr>
          <w:sz w:val="24"/>
        </w:rPr>
      </w:pPr>
      <w:r>
        <w:rPr>
          <w:rFonts w:eastAsia="Times New Roman"/>
          <w:sz w:val="24"/>
        </w:rPr>
        <w:t xml:space="preserve">      </w:t>
      </w:r>
      <w:r>
        <w:rPr>
          <w:sz w:val="24"/>
        </w:rPr>
        <w:t>9. Place of redemption and interest payment of the bonds : Korea Exchange Bank, 63 Building Branch</w:t>
      </w:r>
    </w:p>
    <w:p>
      <w:pPr>
        <w:pStyle w:val="Normal"/>
        <w:tabs>
          <w:tab w:val="clear" w:pos="720"/>
          <w:tab w:val="left" w:pos="2520" w:leader="none"/>
        </w:tabs>
        <w:spacing w:before="180" w:after="0"/>
        <w:ind w:start="360" w:end="0"/>
        <w:rPr/>
      </w:pPr>
      <w:r>
        <w:rPr>
          <w:sz w:val="24"/>
        </w:rPr>
        <w:t>10. Purpose of funds</w:t>
      </w:r>
      <w:r>
        <w:rPr>
          <w:sz w:val="24"/>
          <w:lang w:eastAsia="ja-JP"/>
        </w:rPr>
        <w:t>:</w:t>
        <w:tab/>
      </w:r>
      <w:r>
        <w:rPr>
          <w:sz w:val="24"/>
        </w:rPr>
        <w:t>Refinance</w:t>
      </w:r>
    </w:p>
    <w:p>
      <w:pPr>
        <w:pStyle w:val="Normal"/>
        <w:tabs>
          <w:tab w:val="clear" w:pos="720"/>
          <w:tab w:val="left" w:pos="2520" w:leader="none"/>
        </w:tabs>
        <w:spacing w:before="180" w:after="0"/>
        <w:ind w:start="360" w:end="0"/>
        <w:rPr>
          <w:sz w:val="24"/>
        </w:rPr>
      </w:pPr>
      <w:r>
        <w:rPr>
          <w:sz w:val="24"/>
        </w:rPr>
        <w:t>11. Lead Manager:</w:t>
        <w:tab/>
        <w:t>Hana Securities and ABN-Amro Securities (Co-lead manager)</w:t>
      </w:r>
    </w:p>
    <w:p>
      <w:pPr>
        <w:pStyle w:val="Normal"/>
        <w:tabs>
          <w:tab w:val="clear" w:pos="720"/>
          <w:tab w:val="left" w:pos="2520" w:leader="none"/>
        </w:tabs>
        <w:spacing w:before="180" w:after="0"/>
        <w:ind w:start="360" w:end="0"/>
        <w:rPr>
          <w:sz w:val="24"/>
          <w:lang w:eastAsia="ja-JP"/>
        </w:rPr>
      </w:pPr>
      <w:r>
        <w:rPr>
          <w:sz w:val="24"/>
        </w:rPr>
        <w:t>12. Trustee:</w:t>
        <w:tab/>
        <w:t>Hana Securities</w:t>
      </w:r>
    </w:p>
    <w:p>
      <w:pPr>
        <w:pStyle w:val="Normal"/>
        <w:tabs>
          <w:tab w:val="clear" w:pos="720"/>
          <w:tab w:val="left" w:pos="2520" w:leader="none"/>
        </w:tabs>
        <w:spacing w:before="180" w:after="0"/>
        <w:ind w:start="360" w:end="0"/>
        <w:rPr>
          <w:sz w:val="24"/>
        </w:rPr>
      </w:pPr>
      <w:r>
        <w:rPr>
          <w:sz w:val="24"/>
        </w:rPr>
        <w:t>13. Underwriters:</w:t>
        <w:tab/>
        <w:t>Hana Securities &amp; ABN-Amro Securities</w:t>
      </w:r>
    </w:p>
    <w:p>
      <w:pPr>
        <w:pStyle w:val="Normal"/>
        <w:tabs>
          <w:tab w:val="clear" w:pos="720"/>
          <w:tab w:val="left" w:pos="2520" w:leader="none"/>
        </w:tabs>
        <w:spacing w:before="180" w:after="0"/>
        <w:ind w:start="360" w:end="0"/>
        <w:rPr>
          <w:sz w:val="24"/>
        </w:rPr>
      </w:pPr>
      <w:r>
        <w:rPr>
          <w:sz w:val="24"/>
        </w:rPr>
        <w:t xml:space="preserve">14. Issuing date </w:t>
      </w:r>
      <w:r>
        <w:rPr>
          <w:sz w:val="24"/>
          <w:lang w:eastAsia="ja-JP"/>
        </w:rPr>
        <w:t>:</w:t>
        <w:tab/>
      </w:r>
      <w:r>
        <w:rPr>
          <w:sz w:val="24"/>
        </w:rPr>
        <w:t>June 4</w:t>
      </w:r>
      <w:r>
        <w:rPr>
          <w:sz w:val="24"/>
          <w:vertAlign w:val="superscript"/>
        </w:rPr>
        <w:t>th</w:t>
      </w:r>
      <w:r>
        <w:rPr>
          <w:sz w:val="24"/>
        </w:rPr>
        <w:t>,  2001 (expected)</w:t>
      </w:r>
      <w:r>
        <w:rPr>
          <w:sz w:val="24"/>
          <w:lang w:eastAsia="ja-JP"/>
        </w:rPr>
        <w:t xml:space="preserve"> </w:t>
      </w:r>
    </w:p>
    <w:p>
      <w:pPr>
        <w:pStyle w:val="Normal"/>
        <w:tabs>
          <w:tab w:val="clear" w:pos="720"/>
          <w:tab w:val="left" w:pos="2520" w:leader="none"/>
        </w:tabs>
        <w:spacing w:before="180" w:after="0"/>
        <w:ind w:start="360" w:end="0"/>
        <w:rPr/>
      </w:pPr>
      <w:r>
        <w:rPr>
          <w:sz w:val="24"/>
        </w:rPr>
        <w:t xml:space="preserve">15. </w:t>
      </w:r>
      <w:r>
        <w:rPr>
          <w:sz w:val="24"/>
          <w:lang w:eastAsia="ja-JP"/>
        </w:rPr>
        <w:t>Registration:</w:t>
        <w:tab/>
        <w:t xml:space="preserve">Korean Securities Depository. </w:t>
      </w:r>
    </w:p>
    <w:p>
      <w:pPr>
        <w:pStyle w:val="Normal"/>
        <w:tabs>
          <w:tab w:val="clear" w:pos="720"/>
          <w:tab w:val="left" w:pos="2520" w:leader="none"/>
        </w:tabs>
        <w:spacing w:before="180" w:after="0"/>
        <w:ind w:hanging="2100" w:start="2500" w:end="0"/>
        <w:rPr>
          <w:sz w:val="24"/>
        </w:rPr>
      </w:pPr>
      <w:r>
        <w:rPr>
          <w:sz w:val="24"/>
        </w:rPr>
        <w:t>16. Others:</w:t>
        <w:tab/>
        <w:t>The power and authority to determine other terms and condition, to execute related contracts and to take related actions, which are necessary to issue the bonds, is delegated to Joint Representative Directors of SK-Enron, subject to the terms and condition of this resolution</w:t>
      </w:r>
    </w:p>
    <w:p>
      <w:pPr>
        <w:pStyle w:val="Normal"/>
        <w:widowControl/>
        <w:spacing w:lineRule="exact" w:line="320"/>
        <w:jc w:val="start"/>
        <w:rPr>
          <w:rFonts w:eastAsia="돋움체"/>
          <w:color w:val="000000"/>
          <w:sz w:val="24"/>
        </w:rPr>
      </w:pPr>
      <w:r>
        <w:rPr>
          <w:rFonts w:eastAsia="돋움체"/>
          <w:color w:val="000000"/>
          <w:sz w:val="24"/>
        </w:rPr>
      </w:r>
    </w:p>
    <w:p>
      <w:pPr>
        <w:pStyle w:val="Normal"/>
        <w:ind w:firstLine="698" w:end="0"/>
        <w:rPr>
          <w:sz w:val="24"/>
        </w:rPr>
      </w:pPr>
      <w:r>
        <w:rPr>
          <w:color w:val="000000"/>
          <w:sz w:val="24"/>
        </w:rPr>
        <w:t xml:space="preserve">After review and due deliberation, the </w:t>
      </w:r>
      <w:r>
        <w:rPr>
          <w:color w:val="000000"/>
          <w:sz w:val="24"/>
        </w:rPr>
        <w:t>D</w:t>
      </w:r>
      <w:r>
        <w:rPr>
          <w:color w:val="000000"/>
          <w:sz w:val="24"/>
        </w:rPr>
        <w:t>irectors present unanimously approved said borrowing.</w:t>
      </w:r>
    </w:p>
    <w:p>
      <w:pPr>
        <w:pStyle w:val="Normal"/>
        <w:widowControl/>
        <w:spacing w:lineRule="exact" w:line="320"/>
        <w:jc w:val="start"/>
        <w:rPr>
          <w:rFonts w:eastAsia="돋움체"/>
          <w:color w:val="000000"/>
          <w:sz w:val="24"/>
        </w:rPr>
      </w:pPr>
      <w:r>
        <w:rPr>
          <w:rFonts w:eastAsia="돋움체"/>
          <w:color w:val="000000"/>
          <w:sz w:val="24"/>
        </w:rPr>
      </w:r>
    </w:p>
    <w:p>
      <w:pPr>
        <w:pStyle w:val="Normal"/>
        <w:widowControl/>
        <w:spacing w:lineRule="exact" w:line="320"/>
        <w:rPr/>
      </w:pPr>
      <w:r>
        <w:rPr>
          <w:sz w:val="24"/>
        </w:rPr>
        <w:tab/>
      </w:r>
      <w:r>
        <w:rPr>
          <w:sz w:val="24"/>
        </w:rPr>
        <w:t>There being no further business to be conducted at the meeting, the Chairman declared the meeting closed.</w:t>
      </w:r>
    </w:p>
    <w:p>
      <w:pPr>
        <w:pStyle w:val="Normal"/>
        <w:widowControl/>
        <w:spacing w:lineRule="exact" w:line="320"/>
        <w:rPr>
          <w:sz w:val="24"/>
        </w:rPr>
      </w:pPr>
      <w:r>
        <w:rPr>
          <w:sz w:val="24"/>
        </w:rPr>
      </w:r>
    </w:p>
    <w:p>
      <w:pPr>
        <w:pStyle w:val="Normal"/>
        <w:widowControl/>
        <w:spacing w:lineRule="exact" w:line="320"/>
        <w:rPr>
          <w:sz w:val="24"/>
        </w:rPr>
      </w:pPr>
      <w:r>
        <w:rPr>
          <w:sz w:val="24"/>
        </w:rPr>
      </w:r>
    </w:p>
    <w:p>
      <w:pPr>
        <w:pStyle w:val="Normal"/>
        <w:widowControl/>
        <w:spacing w:lineRule="exact" w:line="320"/>
        <w:rPr>
          <w:sz w:val="24"/>
        </w:rPr>
      </w:pPr>
      <w:r>
        <w:rPr>
          <w:sz w:val="24"/>
        </w:rPr>
      </w:r>
    </w:p>
    <w:p>
      <w:pPr>
        <w:pStyle w:val="Normal"/>
        <w:widowControl/>
        <w:spacing w:lineRule="exact" w:line="320"/>
        <w:rPr/>
      </w:pPr>
      <w:r>
        <w:rPr>
          <w:sz w:val="24"/>
        </w:rPr>
        <w:tab/>
      </w:r>
      <w:r>
        <w:rPr>
          <w:sz w:val="24"/>
        </w:rPr>
        <w:t>IN WITNESS WHEREOF, the Chairman and the Directors present have prepared these minutes and affixed thereon their name and seals or signatures.</w:t>
      </w:r>
    </w:p>
    <w:p>
      <w:pPr>
        <w:pStyle w:val="Normal"/>
        <w:widowControl/>
        <w:spacing w:lineRule="exact" w:line="320"/>
        <w:rPr>
          <w:sz w:val="24"/>
        </w:rPr>
      </w:pPr>
      <w:r>
        <w:rPr>
          <w:sz w:val="24"/>
        </w:rPr>
      </w:r>
    </w:p>
    <w:p>
      <w:pPr>
        <w:pStyle w:val="Normal"/>
        <w:widowControl/>
        <w:autoSpaceDE w:val="false"/>
        <w:spacing w:lineRule="exact" w:line="320"/>
        <w:rPr>
          <w:rFonts w:eastAsia="돋움체"/>
          <w:color w:val="000000"/>
          <w:sz w:val="24"/>
        </w:rPr>
      </w:pPr>
      <w:r>
        <w:rPr>
          <w:rFonts w:eastAsia="돋움체"/>
          <w:color w:val="000000"/>
          <w:sz w:val="24"/>
        </w:rPr>
        <w:t>Date:  May 22, 2001</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autoSpaceDE w:val="false"/>
        <w:spacing w:lineRule="exact" w:line="320"/>
        <w:rPr/>
      </w:pPr>
      <w:r>
        <w:rPr>
          <w:rFonts w:eastAsia="돋움체"/>
          <w:color w:val="000000"/>
          <w:sz w:val="24"/>
        </w:rPr>
        <w:t>SK-E</w:t>
      </w:r>
      <w:r>
        <w:rPr>
          <w:rFonts w:eastAsia="돋움체"/>
          <w:color w:val="000000"/>
          <w:sz w:val="24"/>
        </w:rPr>
        <w:t>nron Co., Ltd.</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rPr>
          <w:sz w:val="24"/>
        </w:rPr>
      </w:pPr>
      <w:r>
        <w:rPr>
          <w:sz w:val="24"/>
        </w:rPr>
        <w:t>Chairman,</w:t>
      </w:r>
    </w:p>
    <w:p>
      <w:pPr>
        <w:pStyle w:val="Normal"/>
        <w:rPr>
          <w:sz w:val="24"/>
        </w:rPr>
      </w:pPr>
      <w:r>
        <w:rPr>
          <w:sz w:val="24"/>
        </w:rPr>
        <w:t xml:space="preserve">Director:  Darrell W. Kinder </w:t>
      </w:r>
    </w:p>
    <w:p>
      <w:pPr>
        <w:pStyle w:val="Normal"/>
        <w:rPr>
          <w:sz w:val="24"/>
        </w:rPr>
      </w:pPr>
      <w:r>
        <w:rPr>
          <w:sz w:val="24"/>
        </w:rPr>
      </w:r>
    </w:p>
    <w:p>
      <w:pPr>
        <w:pStyle w:val="Normal"/>
        <w:rPr>
          <w:sz w:val="24"/>
        </w:rPr>
      </w:pPr>
      <w:r>
        <w:rPr>
          <w:sz w:val="24"/>
        </w:rPr>
        <w:t>Director:  Cho Chai Soo</w:t>
      </w:r>
    </w:p>
    <w:p>
      <w:pPr>
        <w:pStyle w:val="Normal"/>
        <w:rPr>
          <w:sz w:val="24"/>
        </w:rPr>
      </w:pPr>
      <w:r>
        <w:rPr>
          <w:sz w:val="24"/>
        </w:rPr>
      </w:r>
    </w:p>
    <w:p>
      <w:pPr>
        <w:pStyle w:val="Normal"/>
        <w:rPr>
          <w:sz w:val="24"/>
        </w:rPr>
      </w:pPr>
      <w:r>
        <w:rPr>
          <w:sz w:val="24"/>
        </w:rPr>
        <w:t>Director:  Jeong Joon Yu</w:t>
      </w:r>
    </w:p>
    <w:p>
      <w:pPr>
        <w:pStyle w:val="Normal"/>
        <w:rPr>
          <w:sz w:val="24"/>
        </w:rPr>
      </w:pPr>
      <w:r>
        <w:rPr>
          <w:sz w:val="24"/>
        </w:rPr>
      </w:r>
    </w:p>
    <w:p>
      <w:pPr>
        <w:pStyle w:val="Normal"/>
        <w:rPr>
          <w:sz w:val="24"/>
        </w:rPr>
      </w:pPr>
      <w:r>
        <w:rPr>
          <w:sz w:val="24"/>
        </w:rPr>
        <w:t>Director:  Christopher B. Hunt</w:t>
      </w:r>
    </w:p>
    <w:p>
      <w:pPr>
        <w:pStyle w:val="Normal"/>
        <w:rPr>
          <w:sz w:val="24"/>
        </w:rPr>
      </w:pPr>
      <w:r>
        <w:rPr>
          <w:sz w:val="24"/>
        </w:rPr>
      </w:r>
    </w:p>
    <w:p>
      <w:pPr>
        <w:pStyle w:val="Normal"/>
        <w:rPr>
          <w:sz w:val="24"/>
        </w:rPr>
      </w:pPr>
      <w:r>
        <w:rPr>
          <w:sz w:val="24"/>
        </w:rPr>
        <w:t>Director:  Young Duk Park</w:t>
      </w:r>
    </w:p>
    <w:p>
      <w:pPr>
        <w:pStyle w:val="Normal"/>
        <w:rPr>
          <w:sz w:val="24"/>
        </w:rPr>
      </w:pPr>
      <w:r>
        <w:rPr>
          <w:sz w:val="24"/>
        </w:rPr>
      </w:r>
    </w:p>
    <w:p>
      <w:pPr>
        <w:pStyle w:val="Normal"/>
        <w:rPr>
          <w:sz w:val="24"/>
        </w:rPr>
      </w:pPr>
      <w:r>
        <w:rPr>
          <w:sz w:val="24"/>
        </w:rPr>
        <w:t>Director:  James V. Derrick, Jr.</w:t>
      </w:r>
    </w:p>
    <w:p>
      <w:pPr>
        <w:pStyle w:val="Normal"/>
        <w:rPr>
          <w:sz w:val="24"/>
        </w:rPr>
      </w:pPr>
      <w:r>
        <w:rPr>
          <w:sz w:val="24"/>
        </w:rPr>
      </w:r>
    </w:p>
    <w:p>
      <w:pPr>
        <w:pStyle w:val="Normal"/>
        <w:widowControl/>
        <w:autoSpaceDE w:val="false"/>
        <w:spacing w:lineRule="exact" w:line="320"/>
        <w:rPr/>
      </w:pPr>
      <w:r>
        <w:rPr>
          <w:rFonts w:eastAsia="돋움체"/>
          <w:color w:val="000000"/>
          <w:sz w:val="24"/>
        </w:rPr>
        <w:t xml:space="preserve">Auditor: </w:t>
      </w:r>
      <w:r>
        <w:rPr>
          <w:rFonts w:eastAsia="돋움체"/>
          <w:color w:val="000000"/>
          <w:sz w:val="24"/>
        </w:rPr>
        <w:t xml:space="preserve"> Gyou Bin Lee</w:t>
      </w:r>
    </w:p>
    <w:p>
      <w:pPr>
        <w:pStyle w:val="Normal"/>
        <w:widowControl/>
        <w:autoSpaceDE w:val="false"/>
        <w:spacing w:lineRule="exact" w:line="320"/>
        <w:rPr>
          <w:rFonts w:eastAsia="돋움체"/>
          <w:color w:val="000000"/>
          <w:sz w:val="24"/>
        </w:rPr>
      </w:pPr>
      <w:r>
        <w:rPr>
          <w:rFonts w:eastAsia="돋움체"/>
          <w:color w:val="000000"/>
          <w:sz w:val="24"/>
        </w:rPr>
      </w:r>
    </w:p>
    <w:p>
      <w:pPr>
        <w:pStyle w:val="Normal"/>
        <w:widowControl/>
        <w:spacing w:lineRule="exact" w:line="320"/>
        <w:rPr/>
      </w:pPr>
      <w:r>
        <w:rPr>
          <w:rFonts w:eastAsia="돋움체"/>
          <w:color w:val="000000"/>
          <w:sz w:val="24"/>
        </w:rPr>
        <w:t xml:space="preserve">Auditor: </w:t>
      </w:r>
      <w:r>
        <w:rPr>
          <w:rFonts w:eastAsia="돋움체"/>
          <w:color w:val="000000"/>
          <w:sz w:val="24"/>
        </w:rPr>
        <w:t xml:space="preserve"> </w:t>
      </w:r>
      <w:r>
        <w:rPr>
          <w:sz w:val="24"/>
        </w:rPr>
        <w:t>James A. Hughes</w:t>
      </w:r>
    </w:p>
    <w:sectPr>
      <w:footerReference w:type="default" r:id="rId2"/>
      <w:type w:val="nextPage"/>
      <w:pgSz w:w="12240" w:h="15840"/>
      <w:pgMar w:left="1440" w:right="1440" w:gutter="0" w:header="0" w:top="1440" w:footer="720" w:bottom="125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돋움체">
    <w:charset w:val="81"/>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60"/>
        </w:tabs>
        <w:ind w:start="9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ar-SA"/>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Style13"/>
    <w:qFormat/>
    <w:pPr>
      <w:keepNext w:val="true"/>
      <w:numPr>
        <w:ilvl w:val="1"/>
        <w:numId w:val="1"/>
      </w:numPr>
      <w:autoSpaceDE w:val="false"/>
      <w:spacing w:lineRule="atLeast" w:line="240"/>
      <w:ind w:hanging="0" w:start="261" w:end="261"/>
      <w:jc w:val="center"/>
      <w:outlineLvl w:val="1"/>
    </w:pPr>
    <w:rPr>
      <w:rFonts w:ascii="돋움체" w:hAnsi="돋움체" w:eastAsia="돋움체"/>
      <w:color w:val="000000"/>
      <w:sz w:val="24"/>
      <w:u w:val="single"/>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eastAsia="돋움체"/>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eastAsia="돋움체"/>
      <w:color w:val="000000"/>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Style12">
    <w:name w:val="기본 단락 글꼴"/>
    <w:qFormat/>
    <w:rPr/>
  </w:style>
  <w:style w:type="character" w:styleId="PageNumber">
    <w:name w:val="page number"/>
    <w:basedOn w:val="Style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표준 들여쓰기"/>
    <w:basedOn w:val="Normal"/>
    <w:qFormat/>
    <w:pPr>
      <w:ind w:hanging="0" w:start="851" w:end="0"/>
    </w:pPr>
    <w:rPr/>
  </w:style>
  <w:style w:type="paragraph" w:styleId="2">
    <w:name w:val="본문 들여쓰기 2"/>
    <w:basedOn w:val="Normal"/>
    <w:qFormat/>
    <w:pPr>
      <w:ind w:hanging="720" w:start="720" w:end="0"/>
    </w:pPr>
    <w:rPr>
      <w:rFonts w:eastAsia="굴림체"/>
      <w:sz w:val="24"/>
    </w:rPr>
  </w:style>
  <w:style w:type="paragraph" w:styleId="BodyTextIndent">
    <w:name w:val="Body Text Indent"/>
    <w:basedOn w:val="Normal"/>
    <w:pPr>
      <w:autoSpaceDE w:val="false"/>
      <w:spacing w:lineRule="atLeast" w:line="240"/>
      <w:ind w:hanging="0" w:start="180" w:end="0"/>
    </w:pPr>
    <w:rPr>
      <w:rFonts w:eastAsia="돋움체"/>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3">
    <w:name w:val="본문 3"/>
    <w:basedOn w:val="Normal"/>
    <w:qFormat/>
    <w:pPr>
      <w:spacing w:lineRule="atLeast" w:line="360" w:before="0" w:after="120"/>
      <w:jc w:val="start"/>
      <w:textAlignment w:val="baseline"/>
    </w:pPr>
    <w:rPr>
      <w:rFonts w:ascii="Arial" w:hAnsi="Arial" w:cs="Arial"/>
      <w:kern w:val="0"/>
      <w:sz w:val="24"/>
    </w:rPr>
  </w:style>
  <w:style w:type="paragraph" w:styleId="31">
    <w:name w:val="본문 들여쓰기 3"/>
    <w:basedOn w:val="Normal"/>
    <w:qFormat/>
    <w:pPr>
      <w:spacing w:lineRule="atLeast" w:line="320"/>
      <w:ind w:hanging="400" w:start="140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2001-05-17T02:29:00Z</dcterms:created>
  <dc:creator>박경희</dc:creator>
  <dc:description/>
  <dc:language>en-CA</dc:language>
  <cp:lastModifiedBy>sk</cp:lastModifiedBy>
  <cp:lastPrinted>2001-02-03T09:14:00Z</cp:lastPrinted>
  <dcterms:modified xsi:type="dcterms:W3CDTF">2001-05-17T04:38:00Z</dcterms:modified>
  <cp:revision>5</cp:revision>
  <dc:subject/>
  <dc:title>주  주</dc:title>
</cp:coreProperties>
</file>