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lang w:val="en-US" w:eastAsia="en-US"/>
        </w:rPr>
      </w:pPr>
      <w:r>
        <w:rPr>
          <w:b/>
          <w:sz w:val="22"/>
          <w:lang w:val="en-US" w:eastAsia="en-US"/>
        </w:rPr>
        <w:t>RECIPROCAL CONFIDENTIALITY AGREEMENT</w:t>
      </w:r>
    </w:p>
    <w:p>
      <w:pPr>
        <w:pStyle w:val="Normal"/>
        <w:jc w:val="center"/>
        <w:rPr>
          <w:sz w:val="22"/>
          <w:lang w:val="en-US" w:eastAsia="en-US"/>
        </w:rPr>
      </w:pPr>
      <w:r>
        <w:rPr>
          <w:sz w:val="22"/>
          <w:lang w:val="en-US" w:eastAsia="en-US"/>
        </w:rPr>
      </w:r>
    </w:p>
    <w:p>
      <w:pPr>
        <w:pStyle w:val="Normal"/>
        <w:spacing w:before="0" w:after="240"/>
        <w:jc w:val="center"/>
        <w:rPr>
          <w:b/>
          <w:sz w:val="22"/>
          <w:lang w:val="en-US" w:eastAsia="en-US"/>
        </w:rPr>
      </w:pPr>
      <w:r>
        <w:rPr>
          <w:b/>
          <w:sz w:val="22"/>
          <w:lang w:val="en-US" w:eastAsia="en-US"/>
        </w:rPr>
        <w:t xml:space="preserve">between </w:t>
      </w:r>
    </w:p>
    <w:p>
      <w:pPr>
        <w:pStyle w:val="Normal"/>
        <w:spacing w:before="0" w:after="240"/>
        <w:jc w:val="center"/>
        <w:rPr>
          <w:b/>
          <w:sz w:val="22"/>
          <w:lang w:val="en-US" w:eastAsia="en-US"/>
        </w:rPr>
      </w:pPr>
      <w:r>
        <w:rPr>
          <w:b/>
          <w:sz w:val="22"/>
          <w:lang w:val="en-US" w:eastAsia="en-US"/>
        </w:rPr>
        <w:t xml:space="preserve">International Swaps and Derivatives Association, Inc. </w:t>
      </w:r>
    </w:p>
    <w:p>
      <w:pPr>
        <w:pStyle w:val="Normal"/>
        <w:spacing w:before="0" w:after="240"/>
        <w:jc w:val="center"/>
        <w:rPr>
          <w:b/>
          <w:sz w:val="22"/>
          <w:lang w:val="en-US" w:eastAsia="en-US"/>
        </w:rPr>
      </w:pPr>
      <w:r>
        <w:rPr>
          <w:b/>
          <w:sz w:val="22"/>
          <w:lang w:val="en-US" w:eastAsia="en-US"/>
        </w:rPr>
        <w:t>and</w:t>
      </w:r>
    </w:p>
    <w:p>
      <w:pPr>
        <w:pStyle w:val="Normal"/>
        <w:spacing w:before="0" w:after="240"/>
        <w:jc w:val="center"/>
        <w:rPr>
          <w:b/>
          <w:sz w:val="22"/>
          <w:lang w:val="en-US" w:eastAsia="en-US"/>
        </w:rPr>
      </w:pPr>
      <w:r>
        <w:rPr>
          <w:b/>
          <w:sz w:val="22"/>
          <w:lang w:val="en-US" w:eastAsia="en-US"/>
        </w:rPr>
        <w:t>FpML.org, Inc.</w:t>
      </w:r>
    </w:p>
    <w:p>
      <w:pPr>
        <w:pStyle w:val="Normal"/>
        <w:spacing w:before="0" w:after="240"/>
        <w:jc w:val="center"/>
        <w:rPr>
          <w:b/>
          <w:sz w:val="22"/>
          <w:lang w:val="en-US" w:eastAsia="en-US"/>
        </w:rPr>
      </w:pPr>
      <w:r>
        <w:rPr>
          <w:b/>
          <w:sz w:val="22"/>
          <w:lang w:val="en-US" w:eastAsia="en-US"/>
        </w:rPr>
        <w:t>dated as of November __, 2001</w:t>
      </w:r>
    </w:p>
    <w:p>
      <w:pPr>
        <w:pStyle w:val="Normal"/>
        <w:spacing w:before="0" w:after="240"/>
        <w:jc w:val="center"/>
        <w:rPr>
          <w:b/>
          <w:sz w:val="22"/>
          <w:lang w:val="en-US" w:eastAsia="en-US"/>
        </w:rPr>
      </w:pPr>
      <w:r>
        <w:rPr>
          <w:b/>
          <w:sz w:val="22"/>
          <w:lang w:val="en-US" w:eastAsia="en-US"/>
        </w:rPr>
      </w:r>
    </w:p>
    <w:p>
      <w:pPr>
        <w:pStyle w:val="Normal"/>
        <w:spacing w:before="0" w:after="240"/>
        <w:jc w:val="center"/>
        <w:rPr>
          <w:b/>
          <w:sz w:val="22"/>
          <w:lang w:val="en-US" w:eastAsia="en-US"/>
        </w:rPr>
      </w:pPr>
      <w:r>
        <w:rPr>
          <w:b/>
          <w:sz w:val="22"/>
          <w:lang w:val="en-US" w:eastAsia="en-US"/>
        </w:rPr>
      </w:r>
    </w:p>
    <w:p>
      <w:pPr>
        <w:pStyle w:val="BodyTextFirstIndent"/>
        <w:rPr>
          <w:lang w:val="en-US" w:eastAsia="en-US"/>
        </w:rPr>
      </w:pPr>
      <w:r>
        <w:rPr>
          <w:lang w:val="en-US" w:eastAsia="en-US"/>
        </w:rPr>
        <w:t>We, the International Swaps and Derivative Association, Inc., a New York not-for-profit corporation ("ISDA"), and FpML.org, Inc., a New York not-for-profit corporation ("FpML.org"), each a Party (a "Party") and collectively the Parties (the "Parties"), have been interested in exploring a possible transaction involving ISDA and FpML.org, including without limitation the possible acquisition of FpML.org or certain divisions, assets or subsidiaries thereof by ISDA, or another form of business combination transaction (a "Transaction").  In connection with our respective analyses of a possible negotiated Transaction between the Parties, we recognize that it may be necessary or desirable to provide each other with certain oral and written information concerning ISDA and FpML.org, relevant to such Transaction.  In consideration of furnishing such information to each other, we request that such information, whether furnished before or after the date of this Agreement by us or our respective officers, directors, employees, agents, counsel, financial or other advisors, bank lenders, members or affiliates or representatives of the foregoing (collectively referred to as "Representatives") to each other or our respective Representatives and all notes, analyses, compilations, studies or other documents, whether prepared by each other or other persons, which contain or otherwise reflect such information (collectively, the "Evaluation Material"), be treated in accordance with the provisions of this Reciprocal Confidentiality Agreement (this "Agreement").</w:t>
      </w:r>
    </w:p>
    <w:p>
      <w:pPr>
        <w:pStyle w:val="BodyTextFirstIndent"/>
        <w:rPr>
          <w:lang w:val="en-US" w:eastAsia="en-US"/>
        </w:rPr>
      </w:pPr>
      <w:r>
        <w:rPr>
          <w:lang w:val="en-US" w:eastAsia="en-US"/>
        </w:rPr>
        <w:t>IT IS THEREFORE AGREED THAT:</w:t>
      </w:r>
    </w:p>
    <w:p>
      <w:pPr>
        <w:pStyle w:val="Heading1"/>
        <w:rPr/>
      </w:pPr>
      <w:r>
        <w:rPr>
          <w:lang w:val="en-US" w:eastAsia="en-US"/>
        </w:rPr>
        <w:t>The Evaluation Material will be used solely for the purpose of evaluating a possible Transaction between the Parties and not in any way directly or indirectly detrimental to either of the Parties, and unless and until the Parties have completed a Transaction pursuant to a definitive agreement (a "Definitive Agreement"), such information will be kept confidential by the Parties and their advisors, except that the Parties may disclose the Evaluation Material or portions thereof to those Representatives who need to know such information for the purpose of evaluating the Transaction (it being understood that, before disclosing the Evaluation Material or any portion thereof to such Representatives, the Parties will inform them of the confidential nature of the Evaluation Material and obtain their agreement to be bound by this Agreement and not to disclose such information to any other person).  The Parties agree to be responsible for any breach of this Agreement by their respective Representatives and, at their sole respective expense, to take all reasonable measures (including but not limited to court proceedings) to prevent the Parties' respective Representatives from prohibited or unauthorized disclosure of any Evaluation Material.</w:t>
      </w:r>
    </w:p>
    <w:p>
      <w:pPr>
        <w:pStyle w:val="Heading1"/>
        <w:rPr>
          <w:lang w:val="en-US" w:eastAsia="en-US"/>
        </w:rPr>
      </w:pPr>
      <w:r>
        <w:rPr>
          <w:lang w:val="en-US" w:eastAsia="en-US"/>
        </w:rPr>
        <w:t>The term "Evaluation Material" does not include any information that a Party can demonstrate (a) at the time of disclosure or thereafter but prior to any further disclosure that would otherwise constitute a breach of this Agreement is generally available to and known by the public (other than as a result of a disclosure directly or indirectly by such Party or its Representatives), (b) is or was available to such Party on a nonconfidential basis from a source other than the other Party or the Party's Representatives, provided that such source is not and was not bound by a confidentiality agreement with the other Party prohibiting disclosure of such information or, to such Party's knowledge after due inquiry, otherwise prohibited from transmitting such information to such Party or its Representatives by any contractual, legal or fiduciary obligation or (c) has been independently acquired or developed by such Party without violating any of such Party's obligations under this Agreement.</w:t>
      </w:r>
    </w:p>
    <w:p>
      <w:pPr>
        <w:pStyle w:val="Heading1"/>
        <w:rPr>
          <w:lang w:val="en-US" w:eastAsia="en-US"/>
        </w:rPr>
      </w:pPr>
      <w:r>
        <w:rPr>
          <w:lang w:val="en-US" w:eastAsia="en-US"/>
        </w:rPr>
        <w:t>In the event that either ISDA or FpML.org or any of their Representatives become legally compelled (by deposition, interrogatory, judicial or regulatory request for documents, subpoena, civil investigative demand or similar process) to disclose any of the Evaluation Material, the compelled party (the "Compelled Party") shall provide the other Party (the "Other Party") with prompt prior written notice of such requirement so that the Other Party may seek a protective order or other appropriate remedy and/or waive compliance with the terms of this Agreement. The Parties will cooperate with, and assist each other in obtaining, such protective order or other remedy.  In the event that such protective order or other remedy is not obtained, or that the Other Party waives compliance with the provisions hereof for the Compelled Party, the Compelled Party agrees to furnish only that portion of the Evaluation Material which the Compelled Party is advised by written opinion of counsel is legally required and to exercise best efforts to obtain a protective order or other reliable assurance that confidential treatment will be accorded the Evaluation Material so furnished.</w:t>
      </w:r>
    </w:p>
    <w:p>
      <w:pPr>
        <w:pStyle w:val="Heading1"/>
        <w:rPr>
          <w:lang w:val="en-US" w:eastAsia="en-US"/>
        </w:rPr>
      </w:pPr>
      <w:r>
        <w:rPr>
          <w:lang w:val="en-US" w:eastAsia="en-US"/>
        </w:rPr>
        <w:t>If a Transaction is not consummated by the Parties or if either Party so requests, the Other Party will promptly return to the requesting Party (the "Requesting Party") all copies of any Evaluation Material in its possession or in the possession of its Representatives that were furnished to it by the Requesting Party or its Representatives, and it will promptly destroy (with such destruction certified in writing to the Requesting Party) all copies of any Evaluation Material prepared by it or for its use containing or reflecting information furnished to it by the Requesting Party or its Representatives.</w:t>
      </w:r>
    </w:p>
    <w:p>
      <w:pPr>
        <w:pStyle w:val="Heading1"/>
        <w:rPr>
          <w:lang w:val="en-US" w:eastAsia="en-US"/>
        </w:rPr>
      </w:pPr>
      <w:r>
        <w:rPr>
          <w:lang w:val="en-US" w:eastAsia="en-US"/>
        </w:rPr>
        <w:t>Without the prior written consent of the other Party, a Party will not, and will direct its Representatives not to, disclose to any person (a) that they are considering a Transaction with the other Party, (b) the fact that any investigations, discussions or negotiations are taking place concerning a possible Transaction between the Parties, (c) that the Parties have requested or received Evaluation Material from each other or (d) any of the terms, conditions or other facts with respect to any such possible Transaction, including the status thereof.  The term "person" as used in this Agreement will be interpreted broadly to include, without limitation, any corporation, company, partnership or individual.</w:t>
      </w:r>
    </w:p>
    <w:p>
      <w:pPr>
        <w:pStyle w:val="Heading1"/>
        <w:rPr>
          <w:lang w:val="en-US" w:eastAsia="en-US"/>
        </w:rPr>
      </w:pPr>
      <w:r>
        <w:rPr>
          <w:lang w:val="en-US" w:eastAsia="en-US"/>
        </w:rPr>
        <w:t>Until the earliest to occur of (a) the execution by the Parties of a Definitive Agreement, or (b) two years from the date of this Agreement, ISDA and FpML.org respectively agree not to initiate or maintain contact (except for those contacts made in the ordinary cause of business) with any officer, director or employee or agent of the other or its subsidiaries regarding its business, operations, prospects or finances, except with the express permission of the other.  It is understood that all (i) communications regarding this possible Transaction, (ii) requests for additional information, (iii) requests for facility tours or management meetings and (iv) discussions or questions regarding procedures, will be submitted or directed to Robert Pickel at ISDA and to Philippe Kuong-huu at FpML.org.</w:t>
      </w:r>
    </w:p>
    <w:p>
      <w:pPr>
        <w:pStyle w:val="Heading1"/>
        <w:rPr>
          <w:lang w:val="en-US" w:eastAsia="en-US"/>
        </w:rPr>
      </w:pPr>
      <w:r>
        <w:rPr>
          <w:lang w:val="en-US" w:eastAsia="en-US"/>
        </w:rPr>
        <w:t xml:space="preserve">The Parties understand and acknowledge that they are not making any representation or warranty, express or implied, as to the accuracy or completeness of the Evaluation Material, and none of the Parties or any of their respective officers, directors, employees, members, owners, affiliates or agents will have any liability to the other or any other person, resulting from a Party's use of the Evaluation Material.  Only those representations and warranties that are made to either Party in a Definitive Agreement when, as, and if it is executed, and subject to such limitations and restrictions as may be specified in such Definitive Agreement, will have any legal effect. </w:t>
      </w:r>
    </w:p>
    <w:p>
      <w:pPr>
        <w:pStyle w:val="Heading1"/>
        <w:rPr>
          <w:lang w:val="en-US" w:eastAsia="en-US"/>
        </w:rPr>
      </w:pPr>
      <w:r>
        <w:rPr>
          <w:lang w:val="en-US" w:eastAsia="en-US"/>
        </w:rPr>
        <w:t>The Parties understand and agree that no contract or agreement providing for a Transaction shall be deemed to exist between them and/or the respective members of ISDA and FpML.org unless and until a Definitive Agreement has been executed and delivered, and the Parties hereby waive, in advance, any claims (including, without limitation, claims for breach of contract) in connection with a Transaction unless and until the Parties shall have entered into a Definitive Agreement.  The Parties also agree that unless and until a Definitive Agreement between the Parties and their respective members with respect to a Transaction has been executed and delivered, neither the Parties nor their respective members have any legal obligation of any kind whatsoever with respect to any such Transaction by virtue of this Agreement or any other written or oral expression with respect to such Transaction except, in the case of this Agreement, for the matters specifically agreed to herein.  For purposes of this paragraph, the term "Definitive Agreement" does not include an executed letter of intent or any other preliminary written agreement, nor does it include any written or oral acceptance of an offer or bid by either ISDA or FpML.org.</w:t>
      </w:r>
    </w:p>
    <w:p>
      <w:pPr>
        <w:pStyle w:val="Heading3"/>
        <w:numPr>
          <w:ilvl w:val="0"/>
          <w:numId w:val="0"/>
        </w:numPr>
        <w:ind w:firstLine="720" w:start="0" w:end="0"/>
        <w:rPr>
          <w:lang w:val="en-US" w:eastAsia="en-US"/>
        </w:rPr>
      </w:pPr>
      <w:r>
        <w:rPr>
          <w:lang w:val="en-US" w:eastAsia="en-US"/>
        </w:rPr>
        <w:t>10.</w:t>
        <w:tab/>
        <w:t xml:space="preserve">The Parties agree that, in the event of any breach or threatened breach of the provisions of this Agreement by ISDA or FpML.org, the other shall be entitled, without being required to post a bond or other security, to equitable relief, including in the form of injunctions and orders for specific performance, in addition to all other remedies available to the other at law or in equity. The Parties also hereby irrevocably and unconditionally consent to submit to the exclusive jurisdiction of the courts of the State of New York and of the United States of America located in the City of New York for any actions, suits or proceedings arising out of or relating to this Agreement and the transactions contemplated hereby (and the Parties agree not to commence any action, suit or proceeding relating thereto except in such courts), and further agree that service of any process, summons, notice or document by U.S. registered mail by either Party to the other's address set forth above shall be effective service of process for any action, suit or proceeding brought against either Party in any such court. The Parties hereby irrevocably and unconditionally waive any objection to the laying of venue of any action, suit or proceeding arising out of this Agreement or the transactions contemplated hereby in the courts of the State of New York or the United States of America located in the City of New York, and hereby further irrevocably and unconditionally waive and agree not to plead or claim in any such court that any such action, suit or proceeding brought in any such court has been brought in an inconvenient forum. In addition, each Party hereby irrevocably waives to the extent permitted by law its right to a jury trial of any suit, action or proceeding arising out of or relating to this Agreement or the transactions contemplated hereby. The Parties further agree that, in the event that a court of competent jurisdiction determines that either ISDA or FpML.org or their respective representatives have breached this Agreement, they shall be liable for all reasonable legal fees incurred by either Party in connection with such breach. </w:t>
      </w:r>
    </w:p>
    <w:p>
      <w:pPr>
        <w:pStyle w:val="Heading1"/>
        <w:numPr>
          <w:ilvl w:val="0"/>
          <w:numId w:val="0"/>
        </w:numPr>
        <w:ind w:firstLine="720" w:start="0" w:end="0"/>
        <w:rPr>
          <w:lang w:val="en-US" w:eastAsia="en-US"/>
        </w:rPr>
      </w:pPr>
      <w:r>
        <w:rPr>
          <w:lang w:val="en-US" w:eastAsia="en-US"/>
        </w:rPr>
        <w:t>11.</w:t>
        <w:tab/>
        <w:t>It is further understood and agreed that no failure or delay by the Parties in exercising any right, power or privilege hereunder will operate as a waiver thereof, nor will any single or partial exercise thereof preclude any other or further exercise thereof or the exercise of any right, power or privilege hereunder.</w:t>
      </w:r>
    </w:p>
    <w:p>
      <w:pPr>
        <w:pStyle w:val="BodyTextFirstIndent"/>
        <w:rPr>
          <w:lang w:val="en-US" w:eastAsia="en-US"/>
        </w:rPr>
      </w:pPr>
      <w:r>
        <w:rPr>
          <w:lang w:val="en-US" w:eastAsia="en-US"/>
        </w:rPr>
        <w:t>This agreement is for the mutual benefit of the Parties and will be governed by and construed in accordance with the laws of the State of New York. The Parties' obligations under this Agreement will expire two years from the date of this Agreement.</w:t>
      </w:r>
    </w:p>
    <w:p>
      <w:pPr>
        <w:pStyle w:val="BodyTextFirstIndent"/>
        <w:spacing w:before="0" w:after="0"/>
        <w:rPr>
          <w:lang w:val="en-US" w:eastAsia="en-US"/>
        </w:rPr>
      </w:pPr>
      <w:r>
        <w:rPr>
          <w:lang w:val="en-US" w:eastAsia="en-US"/>
        </w:rPr>
        <w:t>As witness the hands of the duly authorized offices of the Parties on the date which appears first on page 1.</w:t>
      </w:r>
    </w:p>
    <w:p>
      <w:pPr>
        <w:pStyle w:val="BodyTextFirstIndent"/>
        <w:spacing w:before="0" w:after="0"/>
        <w:rPr>
          <w:lang w:val="en-US" w:eastAsia="en-US"/>
        </w:rPr>
      </w:pPr>
      <w:r>
        <w:rPr>
          <w:lang w:val="en-US" w:eastAsia="en-US"/>
        </w:rPr>
      </w:r>
    </w:p>
    <w:p>
      <w:pPr>
        <w:pStyle w:val="BodyTextFirstIndent"/>
        <w:spacing w:before="0" w:after="0"/>
        <w:rPr>
          <w:lang w:val="en-US" w:eastAsia="en-US"/>
        </w:rPr>
      </w:pPr>
      <w:r>
        <w:rPr>
          <w:lang w:val="en-US" w:eastAsia="en-US"/>
        </w:rPr>
      </w:r>
    </w:p>
    <w:p>
      <w:pPr>
        <w:pStyle w:val="BodyTextFirstIndent"/>
        <w:spacing w:before="0" w:after="0"/>
        <w:rPr>
          <w:lang w:val="en-US" w:eastAsia="en-US"/>
        </w:rPr>
      </w:pPr>
      <w:r>
        <w:rPr>
          <w:lang w:val="en-US" w:eastAsia="en-US"/>
        </w:rPr>
      </w:r>
    </w:p>
    <w:p>
      <w:pPr>
        <w:pStyle w:val="BodyTextFirstIndent"/>
        <w:spacing w:before="0" w:after="0"/>
        <w:rPr>
          <w:lang w:val="en-US" w:eastAsia="en-US"/>
        </w:rPr>
      </w:pPr>
      <w:r>
        <w:rPr>
          <w:lang w:val="en-US" w:eastAsia="en-US"/>
        </w:rPr>
      </w:r>
    </w:p>
    <w:p>
      <w:pPr>
        <w:pStyle w:val="BodyTextFirstIndent"/>
        <w:spacing w:before="0" w:after="0"/>
        <w:rPr>
          <w:lang w:val="en-US" w:eastAsia="en-US"/>
        </w:rPr>
      </w:pPr>
      <w:r>
        <w:rPr>
          <w:lang w:val="en-US" w:eastAsia="en-US"/>
        </w:rPr>
      </w:r>
    </w:p>
    <w:p>
      <w:pPr>
        <w:pStyle w:val="BodyTextFirstIndent"/>
        <w:spacing w:before="0" w:after="0"/>
        <w:rPr>
          <w:lang w:val="en-US" w:eastAsia="en-US"/>
        </w:rPr>
      </w:pPr>
      <w:r>
        <w:rPr>
          <w:lang w:val="en-US" w:eastAsia="en-US"/>
        </w:rPr>
      </w:r>
    </w:p>
    <w:p>
      <w:pPr>
        <w:pStyle w:val="BodyTextFirstIndent"/>
        <w:spacing w:before="0" w:after="0"/>
        <w:rPr>
          <w:lang w:val="en-US" w:eastAsia="en-US"/>
        </w:rPr>
      </w:pPr>
      <w:r>
        <w:rPr>
          <w:lang w:val="en-US" w:eastAsia="en-US"/>
        </w:rPr>
      </w:r>
    </w:p>
    <w:p>
      <w:pPr>
        <w:pStyle w:val="BodyTextFirstIndent"/>
        <w:spacing w:before="0" w:after="0"/>
        <w:rPr>
          <w:lang w:val="en-US" w:eastAsia="en-US"/>
        </w:rPr>
      </w:pPr>
      <w:r>
        <w:rPr>
          <w:lang w:val="en-US" w:eastAsia="en-US"/>
        </w:rPr>
        <w:t>FpML.org, INC.</w:t>
      </w:r>
    </w:p>
    <w:p>
      <w:pPr>
        <w:pStyle w:val="BodyTextFirstIndent"/>
        <w:spacing w:before="0" w:after="0"/>
        <w:rPr>
          <w:lang w:val="en-US" w:eastAsia="en-US"/>
        </w:rPr>
      </w:pPr>
      <w:r>
        <w:rPr>
          <w:lang w:val="en-US" w:eastAsia="en-US"/>
        </w:rPr>
      </w:r>
    </w:p>
    <w:p>
      <w:pPr>
        <w:pStyle w:val="BodyTextFirstIndent"/>
        <w:spacing w:before="0" w:after="0"/>
        <w:rPr>
          <w:lang w:val="en-US" w:eastAsia="en-US"/>
        </w:rPr>
      </w:pPr>
      <w:r>
        <w:rPr>
          <w:lang w:val="en-US" w:eastAsia="en-US"/>
        </w:rPr>
      </w:r>
    </w:p>
    <w:p>
      <w:pPr>
        <w:pStyle w:val="BodyTextFirstIndent"/>
        <w:spacing w:before="0" w:after="0"/>
        <w:rPr>
          <w:lang w:val="en-US" w:eastAsia="en-US"/>
        </w:rPr>
      </w:pPr>
      <w:r>
        <w:rPr>
          <w:lang w:val="en-US" w:eastAsia="en-US"/>
        </w:rPr>
      </w:r>
    </w:p>
    <w:p>
      <w:pPr>
        <w:pStyle w:val="BodyTextFirstIndent"/>
        <w:tabs>
          <w:tab w:val="clear" w:pos="720"/>
          <w:tab w:val="left" w:pos="1980" w:leader="none"/>
          <w:tab w:val="left" w:pos="2160" w:leader="none"/>
        </w:tabs>
        <w:spacing w:before="0" w:after="0"/>
        <w:rPr>
          <w:lang w:val="en-US" w:eastAsia="en-US"/>
        </w:rPr>
      </w:pPr>
      <w:r>
        <w:rPr>
          <w:lang w:val="en-US" w:eastAsia="en-US"/>
        </w:rPr>
        <w:t>By: _______________________</w:t>
      </w:r>
    </w:p>
    <w:p>
      <w:pPr>
        <w:pStyle w:val="BodyTextFirstIndent"/>
        <w:spacing w:before="0" w:after="0"/>
        <w:rPr>
          <w:lang w:val="en-US" w:eastAsia="en-US"/>
        </w:rPr>
      </w:pPr>
      <w:r>
        <w:rPr>
          <w:lang w:val="en-US" w:eastAsia="en-US"/>
        </w:rPr>
        <w:t>Name:</w:t>
      </w:r>
    </w:p>
    <w:p>
      <w:pPr>
        <w:pStyle w:val="BodyTextFirstIndent"/>
        <w:spacing w:before="0" w:after="0"/>
        <w:rPr>
          <w:lang w:val="en-US" w:eastAsia="en-US"/>
        </w:rPr>
      </w:pPr>
      <w:r>
        <w:rPr>
          <w:lang w:val="en-US" w:eastAsia="en-US"/>
        </w:rPr>
        <w:t>Title:</w:t>
      </w:r>
    </w:p>
    <w:p>
      <w:pPr>
        <w:pStyle w:val="BodyTextFirstIndent"/>
        <w:tabs>
          <w:tab w:val="clear" w:pos="720"/>
          <w:tab w:val="left" w:pos="2160" w:leader="none"/>
        </w:tabs>
        <w:spacing w:before="0" w:after="0"/>
        <w:rPr>
          <w:lang w:val="en-US" w:eastAsia="en-US"/>
        </w:rPr>
      </w:pPr>
      <w:r>
        <w:rPr>
          <w:lang w:val="en-US" w:eastAsia="en-US"/>
        </w:rPr>
      </w:r>
    </w:p>
    <w:p>
      <w:pPr>
        <w:pStyle w:val="BodyTextFirstIndent"/>
        <w:tabs>
          <w:tab w:val="clear" w:pos="720"/>
          <w:tab w:val="left" w:pos="2160" w:leader="none"/>
        </w:tabs>
        <w:spacing w:before="0" w:after="0"/>
        <w:rPr>
          <w:lang w:val="en-US" w:eastAsia="en-US"/>
        </w:rPr>
      </w:pPr>
      <w:r>
        <w:rPr>
          <w:lang w:val="en-US" w:eastAsia="en-US"/>
        </w:rPr>
      </w:r>
    </w:p>
    <w:p>
      <w:pPr>
        <w:pStyle w:val="BodyTextFirstIndent"/>
        <w:tabs>
          <w:tab w:val="clear" w:pos="720"/>
          <w:tab w:val="left" w:pos="2160" w:leader="none"/>
        </w:tabs>
        <w:spacing w:before="0" w:after="0"/>
        <w:rPr>
          <w:lang w:val="en-US" w:eastAsia="en-US"/>
        </w:rPr>
      </w:pPr>
      <w:r>
        <w:rPr>
          <w:lang w:val="en-US" w:eastAsia="en-US"/>
        </w:rPr>
      </w:r>
    </w:p>
    <w:p>
      <w:pPr>
        <w:pStyle w:val="BodyTextFirstIndent"/>
        <w:tabs>
          <w:tab w:val="clear" w:pos="720"/>
          <w:tab w:val="left" w:pos="2160" w:leader="none"/>
        </w:tabs>
        <w:spacing w:before="0" w:after="0"/>
        <w:rPr>
          <w:lang w:val="en-US" w:eastAsia="en-US"/>
        </w:rPr>
      </w:pPr>
      <w:r>
        <w:rPr>
          <w:lang w:val="en-US" w:eastAsia="en-US"/>
        </w:rPr>
      </w:r>
    </w:p>
    <w:p>
      <w:pPr>
        <w:pStyle w:val="BodyTextFirstIndent"/>
        <w:tabs>
          <w:tab w:val="clear" w:pos="720"/>
          <w:tab w:val="left" w:pos="2160" w:leader="none"/>
        </w:tabs>
        <w:spacing w:before="0" w:after="0"/>
        <w:rPr>
          <w:lang w:val="en-US" w:eastAsia="en-US"/>
        </w:rPr>
      </w:pPr>
      <w:r>
        <w:rPr>
          <w:lang w:val="en-US" w:eastAsia="en-US"/>
        </w:rPr>
      </w:r>
    </w:p>
    <w:p>
      <w:pPr>
        <w:pStyle w:val="BodyTextFirstIndent"/>
        <w:tabs>
          <w:tab w:val="clear" w:pos="720"/>
          <w:tab w:val="left" w:pos="2160" w:leader="none"/>
        </w:tabs>
        <w:spacing w:before="0" w:after="0"/>
        <w:rPr>
          <w:lang w:val="en-US" w:eastAsia="en-US"/>
        </w:rPr>
      </w:pPr>
      <w:r>
        <w:rPr>
          <w:lang w:val="en-US" w:eastAsia="en-US"/>
        </w:rPr>
      </w:r>
    </w:p>
    <w:p>
      <w:pPr>
        <w:pStyle w:val="BodyTextFirstIndent"/>
        <w:tabs>
          <w:tab w:val="clear" w:pos="720"/>
          <w:tab w:val="left" w:pos="2160" w:leader="none"/>
        </w:tabs>
        <w:spacing w:before="0" w:after="0"/>
        <w:rPr>
          <w:lang w:val="en-US" w:eastAsia="en-US"/>
        </w:rPr>
      </w:pPr>
      <w:r>
        <w:rPr>
          <w:lang w:val="en-US" w:eastAsia="en-US"/>
        </w:rPr>
      </w:r>
    </w:p>
    <w:p>
      <w:pPr>
        <w:pStyle w:val="BodyTextFirstIndent"/>
        <w:tabs>
          <w:tab w:val="clear" w:pos="720"/>
          <w:tab w:val="left" w:pos="2160" w:leader="none"/>
        </w:tabs>
        <w:spacing w:before="0" w:after="0"/>
        <w:rPr>
          <w:lang w:val="en-US" w:eastAsia="en-US"/>
        </w:rPr>
      </w:pPr>
      <w:r>
        <w:rPr>
          <w:lang w:val="en-US" w:eastAsia="en-US"/>
        </w:rPr>
      </w:r>
    </w:p>
    <w:p>
      <w:pPr>
        <w:pStyle w:val="BodyTextFirstIndent"/>
        <w:spacing w:before="0" w:after="0"/>
        <w:rPr>
          <w:lang w:val="en-US" w:eastAsia="en-US"/>
        </w:rPr>
      </w:pPr>
      <w:r>
        <w:rPr>
          <w:lang w:val="en-US" w:eastAsia="en-US"/>
        </w:rPr>
        <w:t>INTERNATIONAL SWAPS AND DERIVATIVES ASSOCIATION, INC.</w:t>
      </w:r>
    </w:p>
    <w:p>
      <w:pPr>
        <w:pStyle w:val="BodyTextFirstIndent"/>
        <w:spacing w:before="0" w:after="0"/>
        <w:rPr>
          <w:lang w:val="en-US" w:eastAsia="en-US"/>
        </w:rPr>
      </w:pPr>
      <w:r>
        <w:rPr>
          <w:lang w:val="en-US" w:eastAsia="en-US"/>
        </w:rPr>
      </w:r>
    </w:p>
    <w:p>
      <w:pPr>
        <w:pStyle w:val="BodyTextFirstIndent"/>
        <w:spacing w:before="0" w:after="0"/>
        <w:rPr>
          <w:lang w:val="en-US" w:eastAsia="en-US"/>
        </w:rPr>
      </w:pPr>
      <w:r>
        <w:rPr>
          <w:lang w:val="en-US" w:eastAsia="en-US"/>
        </w:rPr>
      </w:r>
    </w:p>
    <w:p>
      <w:pPr>
        <w:pStyle w:val="BodyTextFirstIndent"/>
        <w:spacing w:before="0" w:after="0"/>
        <w:rPr>
          <w:lang w:val="en-US" w:eastAsia="en-US"/>
        </w:rPr>
      </w:pPr>
      <w:r>
        <w:rPr>
          <w:lang w:val="en-US" w:eastAsia="en-US"/>
        </w:rPr>
      </w:r>
    </w:p>
    <w:p>
      <w:pPr>
        <w:pStyle w:val="BodyTextFirstIndent"/>
        <w:tabs>
          <w:tab w:val="clear" w:pos="720"/>
          <w:tab w:val="left" w:pos="1980" w:leader="none"/>
          <w:tab w:val="left" w:pos="2160" w:leader="none"/>
        </w:tabs>
        <w:spacing w:before="0" w:after="0"/>
        <w:ind w:firstLine="850" w:end="0"/>
        <w:rPr>
          <w:lang w:val="en-US" w:eastAsia="en-US"/>
        </w:rPr>
      </w:pPr>
      <w:r>
        <w:rPr>
          <w:lang w:val="en-US" w:eastAsia="en-US"/>
        </w:rPr>
        <w:t>By: _______________________</w:t>
      </w:r>
    </w:p>
    <w:p>
      <w:pPr>
        <w:pStyle w:val="BodyTextFirstIndent"/>
        <w:spacing w:before="0" w:after="0"/>
        <w:ind w:firstLine="850" w:end="0"/>
        <w:rPr>
          <w:lang w:val="en-US" w:eastAsia="en-US"/>
        </w:rPr>
      </w:pPr>
      <w:r>
        <w:rPr>
          <w:lang w:val="en-US" w:eastAsia="en-US"/>
        </w:rPr>
        <w:t>Name:</w:t>
      </w:r>
    </w:p>
    <w:p>
      <w:pPr>
        <w:pStyle w:val="BodyTextFirstIndent"/>
        <w:spacing w:before="0" w:after="0"/>
        <w:ind w:firstLine="850" w:end="0"/>
        <w:rPr>
          <w:lang w:val="en-US" w:eastAsia="en-US"/>
        </w:rPr>
      </w:pPr>
      <w:r>
        <w:rPr>
          <w:lang w:val="en-US" w:eastAsia="en-US"/>
        </w:rPr>
        <w:t>Title:</w:t>
      </w:r>
    </w:p>
    <w:sectPr>
      <w:headerReference w:type="default" r:id="rId2"/>
      <w:headerReference w:type="first" r:id="rId3"/>
      <w:footerReference w:type="default" r:id="rId4"/>
      <w:footerReference w:type="first" r:id="rId5"/>
      <w:type w:val="nextPage"/>
      <w:pgSz w:w="12240" w:h="15840"/>
      <w:pgMar w:left="1440" w:right="1582"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lang w:val="en-GB" w:eastAsia="en-US"/>
      </w:rPr>
    </w:pPr>
    <w:r>
      <w:rPr>
        <w:sz w:val="16"/>
        <w:lang w:val="en-GB" w:eastAsia="en-US"/>
      </w:rPr>
      <w:t>NY:30634.3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lang w:val="en-GB" w:eastAsia="en-US"/>
      </w:rPr>
    </w:pPr>
    <w:r>
      <w:rPr>
        <w:sz w:val="16"/>
        <w:lang w:val="en-GB" w:eastAsia="en-US"/>
      </w:rPr>
      <w:t>NY:30634.3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153" w:leader="none"/>
        <w:tab w:val="left" w:pos="6480" w:leader="none"/>
        <w:tab w:val="right" w:pos="8306" w:leader="none"/>
      </w:tabs>
      <w:ind w:end="578"/>
      <w:jc w:val="end"/>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7.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153" w:leader="none"/>
        <w:tab w:val="left" w:pos="6480" w:leader="none"/>
        <w:tab w:val="right" w:pos="8306" w:leader="none"/>
      </w:tabs>
      <w:ind w:end="578"/>
      <w:jc w:val="end"/>
      <w:rPr>
        <w:lang w:val="en-GB" w:eastAsia="en-US"/>
      </w:rPr>
    </w:pPr>
    <w:r>
      <w:rPr>
        <w:lang w:val="en-GB"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mallCaps w:val="false"/>
        <w:caps w:val="false"/>
        <w:sz w:val="22"/>
        <w:i w:val="false"/>
        <w:b w:val="false"/>
        <w:rFonts w:ascii="Times New Roman" w:hAnsi="Times New Roman" w:cs="Times New Roman"/>
      </w:rPr>
    </w:lvl>
    <w:lvl w:ilvl="1">
      <w:start w:val="1"/>
      <w:pStyle w:val="Heading2"/>
      <w:numFmt w:val="decimal"/>
      <w:lvlText w:val="(%2)"/>
      <w:lvlJc w:val="start"/>
      <w:pPr>
        <w:tabs>
          <w:tab w:val="num" w:pos="720"/>
        </w:tabs>
        <w:ind w:start="720" w:hanging="720"/>
      </w:pPr>
      <w:rPr>
        <w:smallCaps w:val="false"/>
        <w:caps w:val="false"/>
        <w:sz w:val="22"/>
        <w:i w:val="false"/>
        <w:b w:val="false"/>
        <w:rFonts w:ascii="Times New Roman" w:hAnsi="Times New Roman" w:cs="Times New Roman"/>
      </w:rPr>
    </w:lvl>
    <w:lvl w:ilvl="2">
      <w:start w:val="1"/>
      <w:pStyle w:val="Heading3"/>
      <w:numFmt w:val="lowerLetter"/>
      <w:lvlText w:val="(%3)"/>
      <w:lvlJc w:val="start"/>
      <w:pPr>
        <w:tabs>
          <w:tab w:val="num" w:pos="1440"/>
        </w:tabs>
        <w:ind w:start="1440" w:hanging="720"/>
      </w:pPr>
      <w:rPr>
        <w:sz w:val="22"/>
        <w:i w:val="false"/>
        <w:b w:val="false"/>
        <w:rFonts w:ascii="Times New Roman" w:hAnsi="Times New Roman" w:cs="Times New Roman"/>
      </w:rPr>
    </w:lvl>
    <w:lvl w:ilvl="3">
      <w:start w:val="1"/>
      <w:pStyle w:val="Heading4"/>
      <w:numFmt w:val="lowerRoman"/>
      <w:lvlText w:val="(%4)"/>
      <w:lvlJc w:val="start"/>
      <w:pPr>
        <w:tabs>
          <w:tab w:val="num" w:pos="2160"/>
        </w:tabs>
        <w:ind w:start="2160" w:hanging="720"/>
      </w:pPr>
      <w:rPr>
        <w:sz w:val="22"/>
        <w:i w:val="false"/>
        <w:b w:val="false"/>
        <w:rFonts w:ascii="Times New Roman" w:hAnsi="Times New Roman" w:cs="Times New Roman"/>
      </w:rPr>
    </w:lvl>
    <w:lvl w:ilvl="4">
      <w:start w:val="1"/>
      <w:pStyle w:val="Heading5"/>
      <w:numFmt w:val="upperLetter"/>
      <w:lvlText w:val="(%5)"/>
      <w:lvlJc w:val="start"/>
      <w:pPr>
        <w:tabs>
          <w:tab w:val="num" w:pos="2880"/>
        </w:tabs>
        <w:ind w:start="2880" w:hanging="720"/>
      </w:pPr>
      <w:rPr>
        <w:sz w:val="22"/>
        <w:i w:val="false"/>
        <w:b w:val="false"/>
        <w:rFonts w:ascii="Times New Roman" w:hAnsi="Times New Roman" w:cs="Times New Roman"/>
      </w:rPr>
    </w:lvl>
    <w:lvl w:ilvl="5">
      <w:start w:val="1"/>
      <w:pStyle w:val="Heading6"/>
      <w:numFmt w:val="decimal"/>
      <w:lvlText w:val="%6."/>
      <w:lvlJc w:val="start"/>
      <w:pPr>
        <w:tabs>
          <w:tab w:val="num" w:pos="3600"/>
        </w:tabs>
        <w:ind w:start="3600" w:hanging="720"/>
      </w:pPr>
      <w:rPr>
        <w:sz w:val="22"/>
        <w:i w:val="false"/>
        <w:b w:val="false"/>
        <w:rFonts w:ascii="Times New Roman" w:hAnsi="Times New Roman" w:cs="Times New Roman"/>
      </w:rPr>
    </w:lvl>
    <w:lvl w:ilvl="6">
      <w:start w:val="1"/>
      <w:pStyle w:val="Heading7"/>
      <w:numFmt w:val="decimal"/>
      <w:lvlText w:val="%7."/>
      <w:lvlJc w:val="start"/>
      <w:pPr>
        <w:tabs>
          <w:tab w:val="num" w:pos="4320"/>
        </w:tabs>
        <w:ind w:start="4320" w:hanging="720"/>
      </w:pPr>
    </w:lvl>
    <w:lvl w:ilvl="7">
      <w:start w:val="1"/>
      <w:pStyle w:val="Heading8"/>
      <w:numFmt w:val="decimal"/>
      <w:lvlText w:val="%8."/>
      <w:lvlJc w:val="start"/>
      <w:pPr>
        <w:tabs>
          <w:tab w:val="num" w:pos="5040"/>
        </w:tabs>
        <w:ind w:start="5040" w:hanging="720"/>
      </w:pPr>
      <w:rPr>
        <w:sz w:val="22"/>
        <w:i w:val="false"/>
        <w:b w:val="false"/>
        <w:rFonts w:ascii="Times New Roman" w:hAnsi="Times New Roman" w:cs="Times New Roman"/>
      </w:rPr>
    </w:lvl>
    <w:lvl w:ilvl="8">
      <w:start w:val="1"/>
      <w:pStyle w:val="Heading9"/>
      <w:numFmt w:val="decimal"/>
      <w:lvlText w:val="%9."/>
      <w:lvlJc w:val="start"/>
      <w:pPr>
        <w:tabs>
          <w:tab w:val="num" w:pos="5760"/>
        </w:tabs>
        <w:ind w:start="5760" w:hanging="720"/>
      </w:pPr>
      <w:rPr>
        <w:sz w:val="22"/>
        <w:i w:val="false"/>
        <w:b w:val="false"/>
        <w:rFonts w:ascii="Times New Roman" w:hAnsi="Times New Roman" w:cs="Times New Roman"/>
      </w:rPr>
    </w:lvl>
  </w:abstractNum>
  <w:abstractNum w:abstractNumId="2">
    <w:lvl w:ilvl="0">
      <w:start w:val="1"/>
      <w:numFmt w:val="bullet"/>
      <w:lvlText w:val=""/>
      <w:lvlJc w:val="start"/>
      <w:pPr>
        <w:tabs>
          <w:tab w:val="num" w:pos="1209"/>
        </w:tabs>
        <w:ind w:start="1209"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DocRef" w:val="NY:3063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CA" w:bidi="ar-SA"/>
    </w:rPr>
  </w:style>
  <w:style w:type="paragraph" w:styleId="Heading1">
    <w:name w:val="heading 1"/>
    <w:basedOn w:val="Normal"/>
    <w:next w:val="Normal"/>
    <w:qFormat/>
    <w:pPr>
      <w:numPr>
        <w:ilvl w:val="0"/>
        <w:numId w:val="1"/>
      </w:numPr>
      <w:tabs>
        <w:tab w:val="clear" w:pos="720"/>
      </w:tabs>
      <w:spacing w:before="0" w:after="240"/>
      <w:ind w:firstLine="851" w:start="0" w:end="0"/>
      <w:jc w:val="both"/>
      <w:outlineLvl w:val="0"/>
    </w:pPr>
    <w:rPr>
      <w:kern w:val="2"/>
      <w:sz w:val="22"/>
    </w:rPr>
  </w:style>
  <w:style w:type="paragraph" w:styleId="Heading2">
    <w:name w:val="heading 2"/>
    <w:basedOn w:val="Normal"/>
    <w:next w:val="Normal"/>
    <w:qFormat/>
    <w:pPr>
      <w:keepNext w:val="true"/>
      <w:numPr>
        <w:ilvl w:val="1"/>
        <w:numId w:val="1"/>
      </w:numPr>
      <w:spacing w:before="0" w:after="240"/>
      <w:jc w:val="both"/>
      <w:outlineLvl w:val="1"/>
    </w:pPr>
    <w:rPr>
      <w:sz w:val="22"/>
    </w:rPr>
  </w:style>
  <w:style w:type="paragraph" w:styleId="Heading3">
    <w:name w:val="heading 3"/>
    <w:basedOn w:val="Normal"/>
    <w:next w:val="Normal"/>
    <w:qFormat/>
    <w:pPr>
      <w:numPr>
        <w:ilvl w:val="2"/>
        <w:numId w:val="1"/>
      </w:numPr>
      <w:spacing w:before="0" w:after="240"/>
      <w:jc w:val="both"/>
      <w:outlineLvl w:val="2"/>
    </w:pPr>
    <w:rPr>
      <w:sz w:val="22"/>
    </w:rPr>
  </w:style>
  <w:style w:type="paragraph" w:styleId="Heading4">
    <w:name w:val="heading 4"/>
    <w:basedOn w:val="Normal"/>
    <w:next w:val="Normal"/>
    <w:qFormat/>
    <w:pPr>
      <w:numPr>
        <w:ilvl w:val="3"/>
        <w:numId w:val="1"/>
      </w:numPr>
      <w:spacing w:before="0" w:after="240"/>
      <w:jc w:val="both"/>
      <w:outlineLvl w:val="3"/>
    </w:pPr>
    <w:rPr>
      <w:sz w:val="22"/>
    </w:rPr>
  </w:style>
  <w:style w:type="paragraph" w:styleId="Heading5">
    <w:name w:val="heading 5"/>
    <w:basedOn w:val="Normal"/>
    <w:next w:val="Normal"/>
    <w:qFormat/>
    <w:pPr>
      <w:numPr>
        <w:ilvl w:val="4"/>
        <w:numId w:val="1"/>
      </w:numPr>
      <w:spacing w:before="0" w:after="240"/>
      <w:jc w:val="both"/>
      <w:outlineLvl w:val="4"/>
    </w:pPr>
    <w:rPr>
      <w:sz w:val="22"/>
    </w:rPr>
  </w:style>
  <w:style w:type="paragraph" w:styleId="Heading6">
    <w:name w:val="heading 6"/>
    <w:basedOn w:val="Normal"/>
    <w:next w:val="Normal"/>
    <w:qFormat/>
    <w:pPr>
      <w:numPr>
        <w:ilvl w:val="5"/>
        <w:numId w:val="1"/>
      </w:numPr>
      <w:spacing w:before="0" w:after="240"/>
      <w:jc w:val="both"/>
      <w:outlineLvl w:val="5"/>
    </w:pPr>
    <w:rPr>
      <w:sz w:val="22"/>
    </w:rPr>
  </w:style>
  <w:style w:type="paragraph" w:styleId="Heading7">
    <w:name w:val="heading 7"/>
    <w:basedOn w:val="Normal"/>
    <w:next w:val="Normal"/>
    <w:qFormat/>
    <w:pPr>
      <w:numPr>
        <w:ilvl w:val="6"/>
        <w:numId w:val="1"/>
      </w:numPr>
      <w:spacing w:before="0" w:after="240"/>
      <w:jc w:val="both"/>
      <w:outlineLvl w:val="6"/>
    </w:pPr>
    <w:rPr>
      <w:sz w:val="22"/>
    </w:rPr>
  </w:style>
  <w:style w:type="paragraph" w:styleId="Heading8">
    <w:name w:val="heading 8"/>
    <w:basedOn w:val="Normal"/>
    <w:next w:val="Normal"/>
    <w:qFormat/>
    <w:pPr>
      <w:numPr>
        <w:ilvl w:val="7"/>
        <w:numId w:val="1"/>
      </w:numPr>
      <w:spacing w:before="0" w:after="240"/>
      <w:jc w:val="both"/>
      <w:outlineLvl w:val="7"/>
    </w:pPr>
    <w:rPr>
      <w:sz w:val="22"/>
    </w:rPr>
  </w:style>
  <w:style w:type="paragraph" w:styleId="Heading9">
    <w:name w:val="heading 9"/>
    <w:basedOn w:val="Normal"/>
    <w:next w:val="Normal"/>
    <w:qFormat/>
    <w:pPr>
      <w:numPr>
        <w:ilvl w:val="8"/>
        <w:numId w:val="1"/>
      </w:numPr>
      <w:spacing w:before="0" w:after="240"/>
      <w:jc w:val="both"/>
      <w:outlineLvl w:val="8"/>
    </w:pPr>
    <w:rPr>
      <w:sz w:val="22"/>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b/>
      <w:i w:val="false"/>
      <w:caps/>
      <w:sz w:val="22"/>
    </w:rPr>
  </w:style>
  <w:style w:type="character" w:styleId="WW8Num2z1">
    <w:name w:val="WW8Num2z1"/>
    <w:qFormat/>
    <w:rPr>
      <w:rFonts w:ascii="Times New Roman" w:hAnsi="Times New Roman" w:cs="Times New Roman"/>
      <w:b/>
      <w:i w:val="false"/>
      <w:caps w:val="false"/>
      <w:smallCaps w:val="false"/>
      <w:sz w:val="22"/>
    </w:rPr>
  </w:style>
  <w:style w:type="character" w:styleId="WW8Num2z2">
    <w:name w:val="WW8Num2z2"/>
    <w:qFormat/>
    <w:rPr>
      <w:rFonts w:ascii="Times New Roman" w:hAnsi="Times New Roman" w:cs="Times New Roman"/>
      <w:b w:val="false"/>
      <w:i w:val="false"/>
      <w:sz w:val="22"/>
    </w:rPr>
  </w:style>
  <w:style w:type="character" w:styleId="WW8Num3z0">
    <w:name w:val="WW8Num3z0"/>
    <w:qFormat/>
    <w:rPr>
      <w:rFonts w:ascii="Times New Roman" w:hAnsi="Times New Roman" w:cs="Times New Roman"/>
      <w:b w:val="false"/>
      <w:i w:val="false"/>
      <w:caps w:val="false"/>
      <w:smallCaps w:val="false"/>
      <w:sz w:val="22"/>
    </w:rPr>
  </w:style>
  <w:style w:type="character" w:styleId="WW8Num3z2">
    <w:name w:val="WW8Num3z2"/>
    <w:qFormat/>
    <w:rPr>
      <w:rFonts w:ascii="Times New Roman" w:hAnsi="Times New Roman" w:cs="Times New Roman"/>
      <w:b w:val="false"/>
      <w:i w:val="false"/>
      <w:sz w:val="22"/>
    </w:rPr>
  </w:style>
  <w:style w:type="character" w:styleId="WW8Num4z0">
    <w:name w:val="WW8Num4z0"/>
    <w:qFormat/>
    <w:rPr>
      <w:rFonts w:ascii="Times New Roman" w:hAnsi="Times New Roman" w:cs="Times New Roman"/>
      <w:b/>
      <w:i w:val="false"/>
      <w:caps/>
      <w:sz w:val="22"/>
    </w:rPr>
  </w:style>
  <w:style w:type="character" w:styleId="WW8Num4z1">
    <w:name w:val="WW8Num4z1"/>
    <w:qFormat/>
    <w:rPr>
      <w:rFonts w:ascii="Times New Roman" w:hAnsi="Times New Roman" w:cs="Times New Roman"/>
      <w:b/>
      <w:i w:val="false"/>
      <w:caps w:val="false"/>
      <w:smallCaps w:val="false"/>
      <w:sz w:val="22"/>
    </w:rPr>
  </w:style>
  <w:style w:type="character" w:styleId="WW8Num4z2">
    <w:name w:val="WW8Num4z2"/>
    <w:qFormat/>
    <w:rPr>
      <w:rFonts w:ascii="Times New Roman" w:hAnsi="Times New Roman" w:cs="Times New Roman"/>
      <w:b w:val="false"/>
      <w:i w:val="false"/>
      <w:sz w:val="22"/>
    </w:rPr>
  </w:style>
  <w:style w:type="character" w:styleId="WW8Num5z0">
    <w:name w:val="WW8Num5z0"/>
    <w:qFormat/>
    <w:rPr>
      <w:rFonts w:ascii="Times New Roman" w:hAnsi="Times New Roman" w:cs="Times New Roman"/>
      <w:b w:val="false"/>
      <w:i w:val="false"/>
      <w:caps w:val="false"/>
      <w:smallCaps w:val="false"/>
      <w:sz w:val="22"/>
    </w:rPr>
  </w:style>
  <w:style w:type="character" w:styleId="WW8Num5z2">
    <w:name w:val="WW8Num5z2"/>
    <w:qFormat/>
    <w:rPr>
      <w:rFonts w:ascii="Times New Roman" w:hAnsi="Times New Roman" w:cs="Times New Roman"/>
      <w:b w:val="false"/>
      <w:i w:val="false"/>
      <w:sz w:val="22"/>
    </w:rPr>
  </w:style>
  <w:style w:type="character" w:styleId="WW8Num6z0">
    <w:name w:val="WW8Num6z0"/>
    <w:qFormat/>
    <w:rPr>
      <w:rFonts w:ascii="Times New Roman" w:hAnsi="Times New Roman" w:cs="Times New Roman"/>
      <w:b/>
      <w:i w:val="false"/>
      <w:caps/>
      <w:sz w:val="22"/>
    </w:rPr>
  </w:style>
  <w:style w:type="character" w:styleId="WW8Num6z1">
    <w:name w:val="WW8Num6z1"/>
    <w:qFormat/>
    <w:rPr>
      <w:rFonts w:ascii="Times New Roman" w:hAnsi="Times New Roman" w:cs="Times New Roman"/>
      <w:b/>
      <w:i w:val="false"/>
      <w:caps w:val="false"/>
      <w:smallCaps w:val="false"/>
      <w:sz w:val="22"/>
    </w:rPr>
  </w:style>
  <w:style w:type="character" w:styleId="WW8Num6z2">
    <w:name w:val="WW8Num6z2"/>
    <w:qFormat/>
    <w:rPr>
      <w:rFonts w:ascii="Times New Roman" w:hAnsi="Times New Roman" w:cs="Times New Roman"/>
      <w:b w:val="false"/>
      <w:i w:val="false"/>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spacing w:before="0" w:after="240"/>
      <w:ind w:hanging="0" w:start="1440" w:end="1440"/>
    </w:pPr>
    <w:rPr/>
  </w:style>
  <w:style w:type="paragraph" w:styleId="BodyTextFirstIndent">
    <w:name w:val="Body Text First Indent"/>
    <w:basedOn w:val="BodyText"/>
    <w:qFormat/>
    <w:pPr>
      <w:ind w:firstLine="851" w:start="0" w:end="0"/>
      <w:jc w:val="both"/>
    </w:pPr>
    <w:rPr>
      <w:sz w:val="22"/>
    </w:rPr>
  </w:style>
  <w:style w:type="paragraph" w:styleId="Signature">
    <w:name w:val="Signature"/>
    <w:basedOn w:val="Normal"/>
    <w:pPr>
      <w:ind w:hanging="0" w:start="4252" w:end="0"/>
    </w:pPr>
    <w:rPr>
      <w:sz w:val="22"/>
    </w:rPr>
  </w:style>
  <w:style w:type="paragraph" w:styleId="ListBullet4">
    <w:name w:val="List Bullet 4"/>
    <w:basedOn w:val="Normal"/>
    <w:qFormat/>
    <w:pPr>
      <w:numPr>
        <w:ilvl w:val="0"/>
        <w:numId w:val="2"/>
      </w:numPr>
      <w:jc w:val="both"/>
    </w:pPr>
    <w:rPr>
      <w:sz w:val="22"/>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2001-11-13T13:11:00Z</dcterms:created>
  <dc:creator>Martina</dc:creator>
  <dc:description/>
  <dc:language>en-CA</dc:language>
  <cp:lastModifiedBy>CYNTHIA</cp:lastModifiedBy>
  <cp:lastPrinted>2001-11-02T12:40:00Z</cp:lastPrinted>
  <dcterms:modified xsi:type="dcterms:W3CDTF">2001-11-13T13:11:00Z</dcterms:modified>
  <cp:revision>2</cp:revision>
  <dc:subject/>
  <dc:title>[letterhead of Company]</dc:title>
</cp:coreProperties>
</file>