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pPr>
            <w:r>
              <w:rPr/>
              <w:t>ISDA Board of Directors</w:t>
            </w:r>
          </w:p>
        </w:tc>
      </w:tr>
      <w:tr>
        <w:trPr/>
        <w:tc>
          <w:tcPr>
            <w:tcW w:w="1440" w:type="dxa"/>
            <w:tcBorders/>
          </w:tcPr>
          <w:p>
            <w:pPr>
              <w:pStyle w:val="Normal"/>
              <w:spacing w:before="240" w:after="240"/>
              <w:rPr>
                <w:b/>
                <w:caps/>
              </w:rPr>
            </w:pPr>
            <w:r>
              <w:rPr>
                <w:b/>
                <w:caps/>
              </w:rPr>
              <w:t>From:</w:t>
            </w:r>
          </w:p>
        </w:tc>
        <w:tc>
          <w:tcPr>
            <w:tcW w:w="8028" w:type="dxa"/>
            <w:tcBorders/>
          </w:tcPr>
          <w:p>
            <w:pPr>
              <w:pStyle w:val="Normal"/>
              <w:spacing w:before="240" w:after="0"/>
              <w:rPr/>
            </w:pPr>
            <w:r>
              <w:rPr/>
              <w:t>Bob Pickel</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pPr>
            <w:r>
              <w:rPr/>
              <w:t>May 1, 2001</w:t>
            </w:r>
          </w:p>
        </w:tc>
      </w:tr>
      <w:tr>
        <w:trPr/>
        <w:tc>
          <w:tcPr>
            <w:tcW w:w="1440" w:type="dxa"/>
            <w:tcBorders/>
          </w:tcPr>
          <w:p>
            <w:pPr>
              <w:pStyle w:val="Normal"/>
              <w:spacing w:before="240" w:after="240"/>
              <w:rPr>
                <w:b/>
                <w:caps/>
              </w:rPr>
            </w:pPr>
            <w:r>
              <w:rPr>
                <w:b/>
                <w:caps/>
              </w:rPr>
              <w:t>Re:</w:t>
            </w:r>
          </w:p>
        </w:tc>
        <w:tc>
          <w:tcPr>
            <w:tcW w:w="8028" w:type="dxa"/>
            <w:tcBorders/>
          </w:tcPr>
          <w:p>
            <w:pPr>
              <w:pStyle w:val="Normal"/>
              <w:spacing w:before="240" w:after="0"/>
              <w:rPr/>
            </w:pPr>
            <w:r>
              <w:rPr/>
              <w:t>Board of Directors Bios</w:t>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-457200</wp:posOffset>
                </wp:positionH>
                <wp:positionV relativeFrom="paragraph">
                  <wp:posOffset>40005</wp:posOffset>
                </wp:positionV>
                <wp:extent cx="6858000" cy="0"/>
                <wp:effectExtent l="0" t="9525" r="0" b="9525"/>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15pt" to="503.95pt,3.15pt" stroked="t" o:allowincell="f" style="position:absolute">
                <v:stroke color="black" weight="19080" joinstyle="miter" endcap="flat"/>
                <v:fill o:detectmouseclick="t" on="false"/>
                <w10:wrap type="topAndBottom"/>
              </v:line>
            </w:pict>
          </mc:Fallback>
        </mc:AlternateContent>
      </w:r>
    </w:p>
    <w:p>
      <w:pPr>
        <w:pStyle w:val="Normal"/>
        <w:rPr/>
      </w:pPr>
      <w:r>
        <w:rPr/>
        <w:t xml:space="preserve">Among the topics for discussion at the Strategic Planning Session will be the composition of the ISDA Board.  To give each Board member a sense of your responsibilities, we plan to provide the attached bio regarding you.  This has been put together from information you have provided to Cynthia Richards or to our conference department.  Please review the attached and provide us with any updated information no later than Thursday, May 3.  </w:t>
      </w:r>
    </w:p>
    <w:p>
      <w:pPr>
        <w:pStyle w:val="BodyText2"/>
        <w:jc w:val="center"/>
        <w:rPr>
          <w:rFonts w:eastAsia="Batang;바탕"/>
        </w:rPr>
      </w:pPr>
      <w:r>
        <w:rPr>
          <w:rFonts w:eastAsia="Batang;바탕"/>
        </w:rPr>
      </w:r>
    </w:p>
    <w:p>
      <w:pPr>
        <w:pStyle w:val="Heading3"/>
        <w:ind w:hanging="0" w:start="0"/>
        <w:rPr>
          <w:rFonts w:eastAsia="Batang;바탕"/>
          <w:caps w:val="false"/>
          <w:smallCaps w:val="false"/>
        </w:rPr>
      </w:pPr>
      <w:r>
        <w:rPr>
          <w:rFonts w:eastAsia="Batang;바탕"/>
          <w:caps w:val="false"/>
          <w:smallCaps w:val="false"/>
        </w:rPr>
        <w:t>MARK E. HAEDICKE – ISDA Board Member</w:t>
      </w:r>
    </w:p>
    <w:p>
      <w:pPr>
        <w:pStyle w:val="Normal"/>
        <w:jc w:val="center"/>
        <w:rPr>
          <w:rFonts w:eastAsia="Batang;바탕"/>
          <w:b/>
          <w:sz w:val="22"/>
        </w:rPr>
      </w:pPr>
      <w:r>
        <w:rPr>
          <w:rFonts w:eastAsia="Batang;바탕"/>
          <w:b/>
          <w:sz w:val="22"/>
        </w:rPr>
        <w:t>Managing Director and General Counsel</w:t>
      </w:r>
    </w:p>
    <w:p>
      <w:pPr>
        <w:pStyle w:val="CenterPara"/>
        <w:keepNext w:val="false"/>
        <w:spacing w:before="0" w:after="0"/>
        <w:rPr>
          <w:rFonts w:eastAsia="Batang;바탕"/>
          <w:b/>
          <w:bCs/>
          <w:caps/>
          <w:sz w:val="22"/>
        </w:rPr>
      </w:pPr>
      <w:r>
        <w:rPr>
          <w:rFonts w:eastAsia="Batang;바탕"/>
          <w:b/>
          <w:bCs/>
          <w:caps/>
          <w:sz w:val="22"/>
        </w:rPr>
        <w:t>Enron Wholesale Services</w:t>
      </w:r>
    </w:p>
    <w:p>
      <w:pPr>
        <w:pStyle w:val="CenterPara"/>
        <w:keepNext w:val="false"/>
        <w:spacing w:before="0" w:after="0"/>
        <w:rPr>
          <w:rFonts w:eastAsia="Batang;바탕"/>
          <w:b/>
          <w:bCs/>
          <w:caps/>
          <w:sz w:val="22"/>
        </w:rPr>
      </w:pPr>
      <w:r>
        <w:rPr>
          <w:rFonts w:eastAsia="Batang;바탕"/>
          <w:b/>
          <w:bCs/>
          <w:caps/>
          <w:sz w:val="22"/>
        </w:rPr>
      </w:r>
    </w:p>
    <w:p>
      <w:pPr>
        <w:pStyle w:val="Normal"/>
        <w:rPr/>
      </w:pPr>
      <w:r>
        <w:rPr>
          <w:rFonts w:eastAsia="Batang;바탕"/>
          <w:b/>
          <w:bCs/>
          <w:i/>
          <w:iCs/>
          <w:sz w:val="22"/>
        </w:rPr>
        <w:t>Mark E. Haedicke</w:t>
      </w:r>
      <w:r>
        <w:rPr>
          <w:rFonts w:eastAsia="Batang;바탕"/>
          <w:sz w:val="22"/>
        </w:rPr>
        <w:t xml:space="preserve"> is Managing Director and General Counsel of Enron Wholesale Services (“EWS”), a leading provider of integrated energy products and services worldwide.  The company offers customized financing instruments, short and long term physical delivery products, and commodity risk management services to energy suppliers and buyers.</w:t>
      </w:r>
    </w:p>
    <w:p>
      <w:pPr>
        <w:pStyle w:val="Normal"/>
        <w:rPr>
          <w:rFonts w:eastAsia="Batang;바탕"/>
          <w:sz w:val="22"/>
        </w:rPr>
      </w:pPr>
      <w:r>
        <w:rPr>
          <w:rFonts w:eastAsia="Batang;바탕"/>
          <w:sz w:val="22"/>
        </w:rPr>
      </w:r>
    </w:p>
    <w:p>
      <w:pPr>
        <w:pStyle w:val="Normal"/>
        <w:rPr/>
      </w:pPr>
      <w:r>
        <w:rPr>
          <w:rFonts w:eastAsia="Batang;바탕"/>
          <w:sz w:val="22"/>
        </w:rPr>
        <w:t xml:space="preserve">Starting in 1990, Mr. Haedicke pioneered the development of master contracts for the energy industry.  Mr. Haedicke brought financial documentation technology to energy contracts.  His efforts reshaped contract structures for energy to be dramatically more efficient.  Mr. Haedicke has written numerous articles on energy trading and documentation including: </w:t>
      </w:r>
      <w:r>
        <w:rPr>
          <w:rFonts w:eastAsia="Batang;바탕"/>
          <w:i/>
          <w:sz w:val="22"/>
        </w:rPr>
        <w:t>Competitive-Based Contracts for the new Power Business</w:t>
      </w:r>
      <w:r>
        <w:rPr>
          <w:rFonts w:eastAsia="Batang;바탕"/>
          <w:sz w:val="22"/>
        </w:rPr>
        <w:t xml:space="preserve"> in Volume 17, No. 1 of the Energy Law Journal.  Mr. Haedicke and his department also played a key role in developing Enron Online (“EOL”), the largest business-to-business internet trading site in the world.</w:t>
      </w:r>
    </w:p>
    <w:p>
      <w:pPr>
        <w:pStyle w:val="Normal"/>
        <w:rPr>
          <w:rFonts w:eastAsia="Batang;바탕"/>
          <w:sz w:val="22"/>
        </w:rPr>
      </w:pPr>
      <w:r>
        <w:rPr>
          <w:rFonts w:eastAsia="Batang;바탕"/>
          <w:sz w:val="22"/>
        </w:rPr>
      </w:r>
    </w:p>
    <w:p>
      <w:pPr>
        <w:pStyle w:val="Normal"/>
        <w:ind w:end="-108"/>
        <w:rPr>
          <w:rFonts w:eastAsia="Batang;바탕"/>
          <w:sz w:val="22"/>
        </w:rPr>
      </w:pPr>
      <w:r>
        <w:rPr>
          <w:rFonts w:eastAsia="Batang;바탕"/>
          <w:sz w:val="22"/>
        </w:rPr>
        <w:t xml:space="preserve">Mr. Haedicke manages the largest energy trading legal department in the world.  He sits on the Board of Directors of ISDA as the only non-financial member.  He also holds a seat on the New York Mercantile Exchange.  Prior to joining Enron Wholesale Services, Mr. Haedicke did regulatory work for Florida Gas and corporate legal work for Enron Corp.  </w:t>
      </w:r>
    </w:p>
    <w:p>
      <w:pPr>
        <w:pStyle w:val="Normal"/>
        <w:rPr>
          <w:rFonts w:eastAsia="Batang;바탕"/>
          <w:sz w:val="22"/>
        </w:rPr>
      </w:pPr>
      <w:r>
        <w:rPr>
          <w:rFonts w:eastAsia="Batang;바탕"/>
          <w:sz w:val="22"/>
        </w:rPr>
      </w:r>
    </w:p>
    <w:p>
      <w:pPr>
        <w:pStyle w:val="Normal"/>
        <w:rPr>
          <w:sz w:val="22"/>
        </w:rPr>
      </w:pPr>
      <w:r>
        <w:rPr>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b/>
        <w:sz w:val="96"/>
      </w:rPr>
    </w:pPr>
    <w:r>
      <w:rPr>
        <w:b/>
        <w:sz w:val="96"/>
      </w:rPr>
      <w:t>ISDA</w:t>
    </w:r>
  </w:p>
  <w:p>
    <w:pPr>
      <w:pStyle w:val="Header"/>
      <w:tabs>
        <w:tab w:val="clear" w:pos="8640"/>
        <w:tab w:val="center" w:pos="4320" w:leader="none"/>
        <w:tab w:val="right" w:pos="9360" w:leader="none"/>
      </w:tabs>
      <w:ind w:start="-720" w:end="0"/>
      <w:rPr>
        <w:sz w:val="20"/>
      </w:rPr>
    </w:pPr>
    <w:r>
      <w:rPr>
        <w:sz w:val="20"/>
      </w:rPr>
      <w:t>International Swaps and Derivatives Association, Inc.</w:t>
      <w:tab/>
      <w:tab/>
      <w:t>London</w:t>
    </w:r>
  </w:p>
  <w:p>
    <w:pPr>
      <w:pStyle w:val="Header"/>
      <w:tabs>
        <w:tab w:val="clear" w:pos="8640"/>
        <w:tab w:val="center" w:pos="4320" w:leader="none"/>
        <w:tab w:val="right" w:pos="9360" w:leader="none"/>
      </w:tabs>
      <w:ind w:start="-720" w:end="0"/>
      <w:rPr/>
    </w:pPr>
    <w:r>
      <w:rPr>
        <w:sz w:val="20"/>
      </w:rPr>
      <w:t>600 Fifth Avenue, 27</w:t>
    </w:r>
    <w:r>
      <w:rPr>
        <w:sz w:val="20"/>
        <w:vertAlign w:val="superscript"/>
      </w:rPr>
      <w:t>th</w:t>
    </w:r>
    <w:r>
      <w:rPr>
        <w:sz w:val="20"/>
      </w:rPr>
      <w:t xml:space="preserve"> Floor</w:t>
      <w:tab/>
      <w:tab/>
      <w:t>Telephone: 44 (20) 7330-3550</w:t>
    </w:r>
  </w:p>
  <w:p>
    <w:pPr>
      <w:pStyle w:val="Header"/>
      <w:tabs>
        <w:tab w:val="clear" w:pos="8640"/>
        <w:tab w:val="center" w:pos="4320" w:leader="none"/>
        <w:tab w:val="right" w:pos="9360" w:leader="none"/>
      </w:tabs>
      <w:ind w:start="-720" w:end="0"/>
      <w:rPr>
        <w:sz w:val="20"/>
      </w:rPr>
    </w:pPr>
    <w:r>
      <w:rPr>
        <w:sz w:val="20"/>
      </w:rPr>
      <w:t>Rockefeller Center</w:t>
      <w:tab/>
      <w:tab/>
      <w:t>Facsimile: 44 (20) 7330-3555</w:t>
    </w:r>
  </w:p>
  <w:p>
    <w:pPr>
      <w:pStyle w:val="Header"/>
      <w:tabs>
        <w:tab w:val="clear" w:pos="8640"/>
        <w:tab w:val="center" w:pos="4320" w:leader="none"/>
        <w:tab w:val="right" w:pos="9360" w:leader="none"/>
      </w:tabs>
      <w:ind w:start="-720" w:end="0"/>
      <w:rPr>
        <w:sz w:val="20"/>
      </w:rPr>
    </w:pPr>
    <w:r>
      <w:rPr>
        <w:sz w:val="20"/>
      </w:rPr>
      <w:t>New York, NY 10020-2302</w:t>
    </w:r>
  </w:p>
  <w:p>
    <w:pPr>
      <w:pStyle w:val="Header"/>
      <w:tabs>
        <w:tab w:val="clear" w:pos="8640"/>
        <w:tab w:val="center" w:pos="4320" w:leader="none"/>
        <w:tab w:val="right" w:pos="9360" w:leader="none"/>
      </w:tabs>
      <w:ind w:start="-720" w:end="0"/>
      <w:rPr>
        <w:sz w:val="20"/>
      </w:rPr>
    </w:pPr>
    <w:r>
      <w:rPr>
        <w:sz w:val="20"/>
      </w:rPr>
      <w:t>United States of America</w:t>
      <w:tab/>
      <w:tab/>
      <w:t>Singapore</w:t>
    </w:r>
  </w:p>
  <w:p>
    <w:pPr>
      <w:pStyle w:val="Header"/>
      <w:tabs>
        <w:tab w:val="clear" w:pos="8640"/>
        <w:tab w:val="center" w:pos="4320" w:leader="none"/>
        <w:tab w:val="right" w:pos="9360" w:leader="none"/>
      </w:tabs>
      <w:ind w:start="-720" w:end="0"/>
      <w:rPr>
        <w:sz w:val="20"/>
      </w:rPr>
    </w:pPr>
    <w:r>
      <w:rPr>
        <w:sz w:val="20"/>
      </w:rPr>
      <w:t>Telephone: 1 (212) 332-1200</w:t>
      <w:tab/>
      <w:tab/>
      <w:t xml:space="preserve">Telephone: </w:t>
    </w:r>
    <w:r>
      <w:rPr>
        <w:caps/>
        <w:sz w:val="20"/>
      </w:rPr>
      <w:t>(65)  538-3879</w:t>
    </w:r>
  </w:p>
  <w:p>
    <w:pPr>
      <w:pStyle w:val="Header"/>
      <w:tabs>
        <w:tab w:val="clear" w:pos="8640"/>
        <w:tab w:val="center" w:pos="4320" w:leader="none"/>
        <w:tab w:val="right" w:pos="9360" w:leader="none"/>
      </w:tabs>
      <w:ind w:start="-720" w:end="0"/>
      <w:rPr/>
    </w:pPr>
    <w:r>
      <w:rPr>
        <w:sz w:val="20"/>
      </w:rPr>
      <w:t>Facsimile: 1 (212) 332-1212</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ind w:start="-720" w:end="0"/>
      <w:rPr>
        <w:sz w:val="20"/>
      </w:rPr>
    </w:pPr>
    <w:r>
      <w:rPr>
        <w:sz w:val="20"/>
      </w:rPr>
      <w:t>email: isda@isda.org</w:t>
    </w:r>
  </w:p>
  <w:p>
    <w:pPr>
      <w:pStyle w:val="Header"/>
      <w:tabs>
        <w:tab w:val="clear" w:pos="8640"/>
        <w:tab w:val="center" w:pos="4320" w:leader="none"/>
        <w:tab w:val="right" w:pos="9360" w:leader="none"/>
      </w:tabs>
      <w:ind w:start="-720" w:end="0"/>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-457200</wp:posOffset>
              </wp:positionH>
              <wp:positionV relativeFrom="paragraph">
                <wp:posOffset>91440</wp:posOffset>
              </wp:positionV>
              <wp:extent cx="6858000" cy="0"/>
              <wp:effectExtent l="0" t="9525" r="0" b="9525"/>
              <wp:wrapNone/>
              <wp:docPr id="2"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7.2pt" to="503.95pt,7.2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jc w:val="center"/>
      <w:outlineLvl w:val="2"/>
    </w:pPr>
    <w:rPr>
      <w:b/>
      <w:caps/>
      <w:sz w:val="22"/>
      <w:szCs w:val="24"/>
    </w:rPr>
  </w:style>
  <w:style w:type="paragraph" w:styleId="Heading5">
    <w:name w:val="heading 5"/>
    <w:basedOn w:val="Normal"/>
    <w:next w:val="Normal"/>
    <w:qFormat/>
    <w:pPr>
      <w:keepNext w:val="true"/>
      <w:numPr>
        <w:ilvl w:val="4"/>
        <w:numId w:val="1"/>
      </w:numPr>
      <w:jc w:val="center"/>
      <w:outlineLvl w:val="4"/>
    </w:pPr>
    <w:rPr>
      <w:rFonts w:eastAsia="MS Mincho;ＭＳ 明朝"/>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rPr>
      <w:sz w:val="2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rPr>
      <w:sz w:val="22"/>
    </w:rPr>
  </w:style>
  <w:style w:type="paragraph" w:styleId="CenterPara">
    <w:name w:val="CenterPara"/>
    <w:basedOn w:val="Normal"/>
    <w:qFormat/>
    <w:pPr>
      <w:keepNext w:val="true"/>
      <w:spacing w:before="120" w:after="0"/>
      <w:jc w:val="center"/>
    </w:pPr>
    <w:rPr/>
  </w:style>
  <w:style w:type="paragraph" w:styleId="PlainText">
    <w:name w:val="Plain Text"/>
    <w:basedOn w:val="Normal"/>
    <w:qFormat/>
    <w:pPr/>
    <w:rPr>
      <w:rFonts w:ascii="Courier New" w:hAnsi="Courier New" w:cs="Courier New"/>
      <w:sz w:val="20"/>
    </w:rPr>
  </w:style>
  <w:style w:type="paragraph" w:styleId="BodyText3">
    <w:name w:val="Body Text 3"/>
    <w:basedOn w:val="Normal"/>
    <w:qFormat/>
    <w:pPr/>
    <w:rPr>
      <w:b/>
      <w:bC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2001-05-01T10:18:00Z</dcterms:created>
  <dc:creator>Barbara Hanlon</dc:creator>
  <dc:description/>
  <dc:language>en-CA</dc:language>
  <cp:lastModifiedBy>CYNTHIA</cp:lastModifiedBy>
  <cp:lastPrinted>2001-05-01T09:27:00Z</cp:lastPrinted>
  <dcterms:modified xsi:type="dcterms:W3CDTF">2001-05-01T11:40:00Z</dcterms:modified>
  <cp:revision>10</cp:revision>
  <dc:subject/>
  <dc:title>MEMORANDUM</dc:title>
</cp:coreProperties>
</file>