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SECOND AMENDMENT TO ISDA MASTER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Second Amendment to ISDA Master Agreement dated as of _______, 200__ (the “Amendment”), is made and entered into by and between Bank of America, National Association (successor by assignment to Continental Bank N.A.) (“Counterparty”) and Enron North America Corp. (formerly known as Enron Risk Management Services Corp.) (“ENA”).</w:t>
      </w:r>
    </w:p>
    <w:p>
      <w:pPr>
        <w:pStyle w:val="Normal"/>
        <w:jc w:val="both"/>
        <w:rPr>
          <w:sz w:val="22"/>
        </w:rPr>
      </w:pPr>
      <w:r>
        <w:rPr>
          <w:sz w:val="22"/>
        </w:rPr>
      </w:r>
    </w:p>
    <w:p>
      <w:pPr>
        <w:pStyle w:val="Normal"/>
        <w:jc w:val="both"/>
        <w:rPr>
          <w:sz w:val="22"/>
        </w:rPr>
      </w:pPr>
      <w:r>
        <w:rPr>
          <w:sz w:val="22"/>
        </w:rPr>
        <w:tab/>
        <w:t>WHEREAS, Counterparty and ENA entered into that certain ISDA Master Agreement dated as of February 28, 1992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t>1.</w:t>
        <w:tab/>
        <w:t>Annex A, Collateral and Exposure Provisions, is deleted and replaced in its entirety with the ISDA Credit Support Annex and Paragraph 13 attached hereto.</w:t>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in multiple originals on ______________, 200_.</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BodyText2"/>
              <w:rPr/>
            </w:pPr>
            <w:r>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BodyText2"/>
              <w:rPr/>
            </w:pPr>
            <w:r>
              <w:rPr/>
              <w:t>BANK OF AMERICA, NATIONAL ASSOCIATION</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jc w:val="center"/>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BANK OF AMERICA, NATIONAL ASSOCIATION, a national banking association organized under the laws of the United States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pPr>
            <w:r>
              <w:rPr>
                <w:sz w:val="22"/>
                <w:szCs w:val="22"/>
              </w:rPr>
              <w:t>Negotiable debt obligations issued by the U.S. Treasury Department having an original maturity at issuance of not more than one year (“</w:t>
            </w:r>
            <w:r>
              <w:rPr>
                <w:sz w:val="22"/>
              </w:rPr>
              <w:t>Treasury Bills”</w:t>
            </w:r>
            <w:r>
              <w:rPr>
                <w:sz w:val="22"/>
                <w:szCs w:val="22"/>
              </w:rPr>
              <w:t>)</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Negotiable debt obligations issued by the U.S. Treasury Department having an original maturity at issuance of more than one year but not more than 10 years (“Treasury Notes”)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(D)</w:t>
            </w:r>
          </w:p>
        </w:tc>
        <w:tc>
          <w:tcPr>
            <w:tcW w:w="2880" w:type="dxa"/>
            <w:tcBorders/>
          </w:tcPr>
          <w:p>
            <w:pPr>
              <w:pStyle w:val="Normal"/>
              <w:rPr>
                <w:sz w:val="22"/>
              </w:rPr>
            </w:pPr>
            <w:r>
              <w:rPr>
                <w:sz w:val="22"/>
              </w:rPr>
              <w:t>Negotiable debt obligations issued by the U.S. Treasury Department having an original maturity at issuance of more than 10 years (“Treasury Bonds”)</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95%</w:t>
            </w:r>
          </w:p>
        </w:tc>
      </w:tr>
      <w:tr>
        <w:trPr/>
        <w:tc>
          <w:tcPr>
            <w:tcW w:w="630" w:type="dxa"/>
            <w:tcBorders/>
          </w:tcPr>
          <w:p>
            <w:pPr>
              <w:pStyle w:val="Normal"/>
              <w:jc w:val="both"/>
              <w:rPr>
                <w:sz w:val="22"/>
                <w:szCs w:val="22"/>
              </w:rPr>
            </w:pPr>
            <w:r>
              <w:rPr>
                <w:sz w:val="22"/>
                <w:szCs w:val="22"/>
              </w:rPr>
              <w:t>(E)</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jc w:val="center"/>
              <w:rPr>
                <w:sz w:val="22"/>
                <w:szCs w:val="22"/>
              </w:rPr>
            </w:pPr>
            <w:r>
              <w:rPr>
                <w:sz w:val="22"/>
                <w:szCs w:val="22"/>
              </w:rPr>
              <w:t>100%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ind w:start="720" w:end="0"/>
        <w:jc w:val="both"/>
        <w:rPr>
          <w:color w:val="000000"/>
          <w:sz w:val="22"/>
          <w:szCs w:val="22"/>
        </w:rPr>
      </w:pPr>
      <w:r>
        <w:rPr>
          <w:color w:val="000000"/>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szCs w:val="22"/>
              </w:rPr>
            </w:pPr>
            <w:r>
              <w:rPr>
                <w:b/>
                <w:bCs/>
                <w:sz w:val="22"/>
                <w:szCs w:val="22"/>
                <w:u w:val="single"/>
              </w:rPr>
              <w:t>THRESHOLD</w:t>
            </w:r>
          </w:p>
        </w:tc>
        <w:tc>
          <w:tcPr>
            <w:tcW w:w="2381" w:type="dxa"/>
            <w:tcBorders/>
          </w:tcPr>
          <w:p>
            <w:pPr>
              <w:pStyle w:val="BodyTextIndent2"/>
              <w:rPr/>
            </w:pPr>
            <w:r>
              <w:rPr/>
              <w:t>S&amp;P CREDIT RATING</w:t>
            </w:r>
          </w:p>
          <w:p>
            <w:pPr>
              <w:pStyle w:val="Normal"/>
              <w:ind w:start="-18" w:end="0"/>
              <w:rPr>
                <w:sz w:val="22"/>
                <w:szCs w:val="22"/>
              </w:rPr>
            </w:pPr>
            <w:r>
              <w:rPr>
                <w:sz w:val="22"/>
                <w:szCs w:val="22"/>
              </w:rPr>
            </w:r>
          </w:p>
        </w:tc>
        <w:tc>
          <w:tcPr>
            <w:tcW w:w="2479"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$ 15,000,000</w:t>
            </w:r>
          </w:p>
        </w:tc>
        <w:tc>
          <w:tcPr>
            <w:tcW w:w="2381" w:type="dxa"/>
            <w:tcBorders/>
          </w:tcPr>
          <w:p>
            <w:pPr>
              <w:pStyle w:val="Normal"/>
              <w:ind w:start="-18" w:end="0"/>
              <w:rPr>
                <w:sz w:val="22"/>
                <w:szCs w:val="22"/>
              </w:rPr>
            </w:pPr>
            <w:r>
              <w:rPr>
                <w:sz w:val="22"/>
                <w:szCs w:val="22"/>
              </w:rPr>
              <w:t>BBB (or above)</w:t>
            </w:r>
          </w:p>
        </w:tc>
        <w:tc>
          <w:tcPr>
            <w:tcW w:w="2479" w:type="dxa"/>
            <w:tcBorders/>
          </w:tcPr>
          <w:p>
            <w:pPr>
              <w:pStyle w:val="Normal"/>
              <w:rPr>
                <w:sz w:val="22"/>
                <w:szCs w:val="22"/>
              </w:rPr>
            </w:pPr>
            <w:r>
              <w:rPr>
                <w:sz w:val="22"/>
                <w:szCs w:val="22"/>
              </w:rPr>
              <w:t>Baa2 (or above)</w:t>
            </w:r>
          </w:p>
        </w:tc>
      </w:tr>
      <w:tr>
        <w:trPr/>
        <w:tc>
          <w:tcPr>
            <w:tcW w:w="2520" w:type="dxa"/>
            <w:tcBorders/>
          </w:tcPr>
          <w:p>
            <w:pPr>
              <w:pStyle w:val="Normal"/>
              <w:rPr>
                <w:sz w:val="22"/>
                <w:szCs w:val="22"/>
              </w:rPr>
            </w:pPr>
            <w:r>
              <w:rPr>
                <w:sz w:val="22"/>
                <w:szCs w:val="22"/>
              </w:rPr>
              <w:t>U.S. $   5,000,000</w:t>
            </w:r>
          </w:p>
        </w:tc>
        <w:tc>
          <w:tcPr>
            <w:tcW w:w="2381" w:type="dxa"/>
            <w:tcBorders/>
          </w:tcPr>
          <w:p>
            <w:pPr>
              <w:pStyle w:val="Normal"/>
              <w:ind w:start="-18" w:end="0"/>
              <w:rPr>
                <w:sz w:val="22"/>
                <w:szCs w:val="22"/>
              </w:rPr>
            </w:pPr>
            <w:r>
              <w:rPr>
                <w:sz w:val="22"/>
                <w:szCs w:val="22"/>
              </w:rPr>
              <w:t>BBB-</w:t>
            </w:r>
          </w:p>
        </w:tc>
        <w:tc>
          <w:tcPr>
            <w:tcW w:w="2479" w:type="dxa"/>
            <w:tcBorders/>
          </w:tcPr>
          <w:p>
            <w:pPr>
              <w:pStyle w:val="Normal"/>
              <w:rPr>
                <w:sz w:val="22"/>
                <w:szCs w:val="22"/>
              </w:rPr>
            </w:pPr>
            <w:r>
              <w:rPr>
                <w:sz w:val="22"/>
                <w:szCs w:val="22"/>
              </w:rPr>
              <w:t>Baa3</w:t>
            </w:r>
          </w:p>
        </w:tc>
      </w:tr>
      <w:tr>
        <w:trPr/>
        <w:tc>
          <w:tcPr>
            <w:tcW w:w="2520" w:type="dxa"/>
            <w:tcBorders/>
          </w:tcPr>
          <w:p>
            <w:pPr>
              <w:pStyle w:val="Normal"/>
              <w:rPr>
                <w:sz w:val="22"/>
                <w:szCs w:val="22"/>
              </w:rPr>
            </w:pPr>
            <w:r>
              <w:rPr>
                <w:sz w:val="22"/>
                <w:szCs w:val="22"/>
              </w:rPr>
              <w:t>U.S. $ 0</w:t>
            </w:r>
          </w:p>
        </w:tc>
        <w:tc>
          <w:tcPr>
            <w:tcW w:w="2381" w:type="dxa"/>
            <w:tcBorders/>
          </w:tcPr>
          <w:p>
            <w:pPr>
              <w:pStyle w:val="Normal"/>
              <w:ind w:start="-18" w:end="0"/>
              <w:rPr>
                <w:sz w:val="22"/>
                <w:szCs w:val="22"/>
              </w:rPr>
            </w:pPr>
            <w:r>
              <w:rPr>
                <w:sz w:val="22"/>
                <w:szCs w:val="22"/>
              </w:rPr>
              <w:t>Below BBB-</w:t>
            </w:r>
          </w:p>
        </w:tc>
        <w:tc>
          <w:tcPr>
            <w:tcW w:w="2479" w:type="dxa"/>
            <w:tcBorders/>
          </w:tcPr>
          <w:p>
            <w:pPr>
              <w:pStyle w:val="Normal"/>
              <w:rPr>
                <w:sz w:val="22"/>
                <w:szCs w:val="22"/>
              </w:rPr>
            </w:pPr>
            <w:r>
              <w:rPr>
                <w:sz w:val="22"/>
                <w:szCs w:val="22"/>
              </w:rPr>
              <w:t>Below Baa3</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$1,000,000 </w:t>
      </w:r>
      <w:r>
        <w:rPr>
          <w:sz w:val="22"/>
          <w:szCs w:val="22"/>
        </w:rPr>
        <w:t xml:space="preserve">and the Return Amount will be rounded down to the nearest integral multiple of U.S. </w:t>
      </w:r>
      <w:r>
        <w:rPr>
          <w:color w:val="000000"/>
          <w:sz w:val="22"/>
          <w:szCs w:val="22"/>
        </w:rPr>
        <w:t>$1,000,000.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ind w:hanging="720" w:start="1440" w:end="0"/>
        <w:jc w:val="both"/>
        <w:rPr>
          <w:sz w:val="22"/>
          <w:szCs w:val="22"/>
        </w:rPr>
      </w:pPr>
      <w:r>
        <w:rPr>
          <w:sz w:val="22"/>
          <w:szCs w:val="22"/>
        </w:rPr>
      </w:r>
    </w:p>
    <w:p>
      <w:pPr>
        <w:pStyle w:val="Normal"/>
        <w:keepNext w:val="true"/>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w:t>
      </w:r>
      <w:r>
        <w:rPr>
          <w:sz w:val="22"/>
        </w:rPr>
        <w:t xml:space="preserve">Treasury Bills, Treasury Notes or Treasury Bonds (referred to herein as </w:t>
      </w:r>
      <w:r>
        <w:rPr>
          <w:b/>
          <w:sz w:val="22"/>
        </w:rPr>
        <w:t>“Government Obligations”</w:t>
      </w:r>
      <w:r>
        <w:rPr>
          <w:sz w:val="22"/>
        </w:rPr>
        <w:t>)</w:t>
      </w:r>
      <w:r>
        <w:rPr>
          <w:sz w:val="22"/>
          <w:szCs w:val="22"/>
        </w:rPr>
        <w:t xml:space="preserve">,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 or “Baa3” or higher by Moody’s.</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w:t>
      </w:r>
      <w:r>
        <w:rPr>
          <w:color w:val="000000"/>
          <w:sz w:val="22"/>
          <w:szCs w:val="22"/>
        </w:rPr>
        <w:t>BBB-</w:t>
      </w:r>
      <w:r>
        <w:rPr>
          <w:sz w:val="22"/>
          <w:szCs w:val="22"/>
        </w:rPr>
        <w:t>” or higher by S&amp;P or “Baa3” or higher by Moody’s.</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(h)</w:t>
        <w:tab/>
      </w:r>
      <w:r>
        <w:rPr>
          <w:b/>
          <w:bCs/>
          <w:sz w:val="22"/>
          <w:szCs w:val="22"/>
        </w:rPr>
        <w:t>Distributions and Interest Amount.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sz w:val="22"/>
          <w:szCs w:val="22"/>
        </w:rPr>
      </w:pPr>
      <w:r>
        <w:rPr>
          <w:sz w:val="22"/>
          <w:szCs w:val="22"/>
        </w:rPr>
        <w:t>(iii)  Paragraph 7(i) is hereby amended by deleting the words “Eligible Collateral” and replacing them with the words “Eligible Credit Support.”</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/mnt/main-storage/datasets/enron-docs/doc/BOA_isdacsa.doc</w:t>
    </w:r>
    <w:r>
      <w:rPr>
        <w:sz w:val="16"/>
        <w:szCs w:val="16"/>
      </w:rPr>
      <w:fldChar w:fldCharType="end"/>
    </w:r>
  </w:p>
  <w:p>
    <w:pPr>
      <w:pStyle w:val="Foo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/mnt/main-storage/datasets/enron-docs/doc/BOA_isdacsa.doc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BodyText2">
    <w:name w:val="Body Text 2"/>
    <w:basedOn w:val="Normal"/>
    <w:qFormat/>
    <w:pPr>
      <w:spacing w:lineRule="exact" w:line="240"/>
      <w:jc w:val="both"/>
    </w:pPr>
    <w:rPr>
      <w:b/>
      <w:b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2000-12-12T18:42:00Z</dcterms:created>
  <dc:creator>mheard</dc:creator>
  <dc:description/>
  <dc:language>en-CA</dc:language>
  <cp:lastModifiedBy>tjones</cp:lastModifiedBy>
  <cp:lastPrinted>2000-12-13T14:15:00Z</cp:lastPrinted>
  <dcterms:modified xsi:type="dcterms:W3CDTF">2000-12-13T17:47:00Z</dcterms:modified>
  <cp:revision>11</cp:revision>
  <dc:subject/>
  <dc:title>ISDA EXHIBITS DOCUMENT</dc:title>
</cp:coreProperties>
</file>