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SECOND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ISDA Master Agreement dated as of _______, 200__ (the “Amendment”), is made and entered into by and between Bank of America, National Association (successor by assignment to Continental Bank N.A.) (“Counterparty”) and Enron North America Corp. (formerly known as Enron Risk Management Services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February 28, 1992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Annex A, Collateral and Exposure Provisions, is deleted and replaced in its entirety with the ISDA Credit Support Annex and Paragraph 13 attached hereto.</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 on ______________, 200_.</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BodyText2"/>
              <w:rPr/>
            </w:pPr>
            <w:r>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BodyText2"/>
              <w:rPr/>
            </w:pPr>
            <w:r>
              <w:rPr/>
              <w:t>BANK OF AMERICA, NATIONAL ASSOCIATION</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jc w:val="center"/>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BANK OF AMERICA, NATIONAL ASSOCIATION, a national banking association organized under the laws of the United States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start="720" w:end="0"/>
        <w:jc w:val="both"/>
        <w:rPr>
          <w:color w:val="000000"/>
          <w:sz w:val="22"/>
          <w:szCs w:val="22"/>
        </w:rPr>
      </w:pPr>
      <w:r>
        <w:rPr>
          <w:color w:val="00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rPr/>
            </w:pPr>
            <w:r>
              <w:rPr/>
              <w:t>S&amp;P CREDIT RATING</w:t>
            </w:r>
          </w:p>
          <w:p>
            <w:pPr>
              <w:pStyle w:val="Normal"/>
              <w:ind w:start="-18" w:end="0"/>
              <w:rPr>
                <w:sz w:val="22"/>
                <w:szCs w:val="22"/>
              </w:rPr>
            </w:pPr>
            <w:r>
              <w:rPr>
                <w:sz w:val="22"/>
                <w:szCs w:val="22"/>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$ 15,000,000</w:t>
            </w:r>
          </w:p>
        </w:tc>
        <w:tc>
          <w:tcPr>
            <w:tcW w:w="2381" w:type="dxa"/>
            <w:tcBorders/>
          </w:tcPr>
          <w:p>
            <w:pPr>
              <w:pStyle w:val="Normal"/>
              <w:ind w:start="-18" w:end="0"/>
              <w:rPr>
                <w:sz w:val="22"/>
                <w:szCs w:val="22"/>
              </w:rPr>
            </w:pPr>
            <w:r>
              <w:rPr>
                <w:sz w:val="22"/>
                <w:szCs w:val="22"/>
              </w:rPr>
              <w:t>BBB (or above)</w:t>
            </w:r>
          </w:p>
        </w:tc>
        <w:tc>
          <w:tcPr>
            <w:tcW w:w="2479" w:type="dxa"/>
            <w:tcBorders/>
          </w:tcPr>
          <w:p>
            <w:pPr>
              <w:pStyle w:val="Normal"/>
              <w:rPr>
                <w:sz w:val="22"/>
                <w:szCs w:val="22"/>
              </w:rPr>
            </w:pPr>
            <w:r>
              <w:rPr>
                <w:sz w:val="22"/>
                <w:szCs w:val="22"/>
              </w:rPr>
              <w:t>Baa2 (or above)</w:t>
            </w:r>
          </w:p>
        </w:tc>
      </w:tr>
      <w:tr>
        <w:trPr/>
        <w:tc>
          <w:tcPr>
            <w:tcW w:w="2520" w:type="dxa"/>
            <w:tcBorders/>
          </w:tcPr>
          <w:p>
            <w:pPr>
              <w:pStyle w:val="Normal"/>
              <w:rPr>
                <w:sz w:val="22"/>
                <w:szCs w:val="22"/>
              </w:rPr>
            </w:pPr>
            <w:r>
              <w:rPr>
                <w:sz w:val="22"/>
                <w:szCs w:val="22"/>
              </w:rPr>
              <w:t>U.S. $   5,000,000</w:t>
            </w:r>
          </w:p>
        </w:tc>
        <w:tc>
          <w:tcPr>
            <w:tcW w:w="2381" w:type="dxa"/>
            <w:tcBorders/>
          </w:tcPr>
          <w:p>
            <w:pPr>
              <w:pStyle w:val="Normal"/>
              <w:ind w:start="-18" w:end="0"/>
              <w:rPr>
                <w:sz w:val="22"/>
                <w:szCs w:val="22"/>
              </w:rPr>
            </w:pPr>
            <w:r>
              <w:rPr>
                <w:sz w:val="22"/>
                <w:szCs w:val="22"/>
              </w:rPr>
              <w:t>BBB-</w:t>
            </w:r>
          </w:p>
        </w:tc>
        <w:tc>
          <w:tcPr>
            <w:tcW w:w="2479" w:type="dxa"/>
            <w:tcBorders/>
          </w:tcPr>
          <w:p>
            <w:pPr>
              <w:pStyle w:val="Normal"/>
              <w:rPr>
                <w:sz w:val="22"/>
                <w:szCs w:val="22"/>
              </w:rPr>
            </w:pPr>
            <w:r>
              <w:rPr>
                <w:sz w:val="22"/>
                <w:szCs w:val="22"/>
              </w:rPr>
              <w:t>Baa3</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$1,000,000 </w:t>
      </w:r>
      <w:r>
        <w:rPr>
          <w:sz w:val="22"/>
          <w:szCs w:val="22"/>
        </w:rPr>
        <w:t xml:space="preserve">and the Return Amount will be rounded down to the nearest integral multiple of U.S. </w:t>
      </w:r>
      <w:r>
        <w:rPr>
          <w:color w:val="000000"/>
          <w:sz w:val="22"/>
          <w:szCs w:val="22"/>
        </w:rPr>
        <w:t>$1,000,000.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ind w:hanging="720" w:start="1440" w:end="0"/>
        <w:jc w:val="both"/>
        <w:rPr>
          <w:sz w:val="22"/>
          <w:szCs w:val="22"/>
        </w:rPr>
      </w:pPr>
      <w:r>
        <w:rPr>
          <w:sz w:val="22"/>
          <w:szCs w:val="22"/>
        </w:rPr>
      </w:r>
    </w:p>
    <w:p>
      <w:pPr>
        <w:pStyle w:val="Normal"/>
        <w:keepNext w:val="true"/>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 or “Baa3” or higher by Moody’s.</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w:t>
      </w:r>
      <w:r>
        <w:rPr>
          <w:color w:val="000000"/>
          <w:sz w:val="22"/>
          <w:szCs w:val="22"/>
        </w:rPr>
        <w:t>BBB-</w:t>
      </w:r>
      <w:r>
        <w:rPr>
          <w:sz w:val="22"/>
          <w:szCs w:val="22"/>
        </w:rPr>
        <w:t>”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(iii)  Paragraph 7(i) is hereby amended by deleting the words “Eligible Collateral” and replacing them with the words “Eligible Credit Support.”</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/mnt/main-storage/datasets/enron-docs/doc/BOA_isdacsa-e953642de763b3d25f0028862719d4845d30043c17cca628a7b1ce44a13d4900.doc</w:t>
    </w:r>
    <w:r>
      <w:rPr>
        <w:sz w:val="16"/>
        <w:szCs w:val="16"/>
      </w:rPr>
      <w:fldChar w:fldCharType="end"/>
    </w:r>
  </w:p>
  <w:p>
    <w:pPr>
      <w:pStyle w:val="Foo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/mnt/main-storage/datasets/enron-docs/doc/BOA_isdacsa-e953642de763b3d25f0028862719d4845d30043c17cca628a7b1ce44a13d4900.doc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/mnt/main-storage/datasets/enron-docs/doc/BOA_isdacsa-e953642de763b3d25f0028862719d4845d30043c17cca628a7b1ce44a13d4900.doc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/mnt/main-storage/datasets/enron-docs/doc/BOA_isdacsa-e953642de763b3d25f0028862719d4845d30043c17cca628a7b1ce44a13d4900.doc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BodyText2">
    <w:name w:val="Body Text 2"/>
    <w:basedOn w:val="Normal"/>
    <w:qFormat/>
    <w:pPr>
      <w:spacing w:lineRule="exact" w:line="240"/>
      <w:jc w:val="both"/>
    </w:pPr>
    <w:rPr>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2000-12-12T18:42:00Z</dcterms:created>
  <dc:creator>mheard</dc:creator>
  <dc:description/>
  <dc:language>en-CA</dc:language>
  <cp:lastModifiedBy>tjones</cp:lastModifiedBy>
  <cp:lastPrinted>2000-10-16T14:31:00Z</cp:lastPrinted>
  <dcterms:modified xsi:type="dcterms:W3CDTF">2000-12-12T19:18:00Z</dcterms:modified>
  <cp:revision>7</cp:revision>
  <dc:subject/>
  <dc:title>ISDA EXHIBITS DOCUMENT</dc:title>
</cp:coreProperties>
</file>