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Fax (713) 646-4618</w:t>
            </w:r>
          </w:p>
        </w:tc>
      </w:tr>
    </w:tbl>
    <w:p>
      <w:pPr>
        <w:pStyle w:val="Normal"/>
        <w:rPr>
          <w:sz w:val="22"/>
        </w:rPr>
      </w:pPr>
      <w:r>
        <w:rPr>
          <w:sz w:val="22"/>
        </w:rPr>
        <w:tab/>
        <w:tab/>
        <w:tab/>
        <w:tab/>
        <w:tab/>
      </w:r>
    </w:p>
    <w:p>
      <w:pPr>
        <w:pStyle w:val="Normal"/>
        <w:jc w:val="center"/>
        <w:rPr>
          <w:b/>
          <w:sz w:val="22"/>
          <w:u w:val="single"/>
        </w:rPr>
      </w:pPr>
      <w:r>
        <w:rPr>
          <w:b/>
          <w:sz w:val="22"/>
          <w:u w:val="single"/>
        </w:rPr>
        <w:t>CONFIRMATION</w:t>
      </w:r>
    </w:p>
    <w:p>
      <w:pPr>
        <w:pStyle w:val="Normal"/>
        <w:jc w:val="center"/>
        <w:rPr>
          <w:sz w:val="22"/>
        </w:rPr>
      </w:pPr>
      <w:r>
        <w:rPr>
          <w:sz w:val="22"/>
        </w:rPr>
        <w:t>Collar</w:t>
      </w:r>
    </w:p>
    <w:p>
      <w:pPr>
        <w:pStyle w:val="Normal"/>
        <w:rPr>
          <w:sz w:val="22"/>
        </w:rPr>
      </w:pPr>
      <w:r>
        <w:rPr>
          <w:sz w:val="22"/>
        </w:rPr>
      </w:r>
    </w:p>
    <w:p>
      <w:pPr>
        <w:pStyle w:val="Normal"/>
        <w:rPr>
          <w:sz w:val="22"/>
        </w:rPr>
      </w:pPr>
      <w:r>
        <w:rPr>
          <w:sz w:val="22"/>
        </w:rPr>
        <w:t>Date:</w:t>
        <w:tab/>
        <w:tab/>
        <w:t>August 2, 2000</w:t>
      </w:r>
    </w:p>
    <w:p>
      <w:pPr>
        <w:pStyle w:val="Normal"/>
        <w:rPr>
          <w:sz w:val="22"/>
        </w:rPr>
      </w:pPr>
      <w:r>
        <w:rPr>
          <w:sz w:val="22"/>
        </w:rPr>
        <w:t>To:</w:t>
        <w:tab/>
        <w:tab/>
        <w:t>Bank of America, National Association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312-234-5750</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Collar</w:t>
      </w:r>
    </w:p>
    <w:p>
      <w:pPr>
        <w:pStyle w:val="Normal"/>
        <w:rPr>
          <w:sz w:val="22"/>
        </w:rPr>
      </w:pPr>
      <w:r>
        <w:rPr>
          <w:sz w:val="22"/>
        </w:rPr>
        <w:t xml:space="preserve">Contract No.: </w:t>
        <w:tab/>
        <w:t>[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rPr>
          <w:sz w:val="22"/>
        </w:rPr>
      </w:pPr>
      <w:r>
        <w:rPr>
          <w:sz w:val="22"/>
        </w:rPr>
      </w:r>
    </w:p>
    <w:p>
      <w:pPr>
        <w:pStyle w:val="Normal"/>
        <w:jc w:val="both"/>
        <w:rPr>
          <w:sz w:val="22"/>
        </w:rPr>
      </w:pPr>
      <w:r>
        <w:rPr>
          <w:sz w:val="22"/>
        </w:rPr>
        <w:tab/>
        <w:t>1.  This Confirmation supplements, forms part of, and is subject to, the ISDA Master Agreement dated as of Octobere 19, 1993, as amended and supplemented from time to time (the "Agreement"), between you and us.  All provisions contained in the Agreement govern this Confirmation except as expressly modified below.</w:t>
      </w:r>
    </w:p>
    <w:p>
      <w:pPr>
        <w:pStyle w:val="Normal"/>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Normal"/>
        <w:rPr>
          <w:sz w:val="22"/>
        </w:rPr>
      </w:pPr>
      <w:r>
        <w:rPr>
          <w:sz w:val="22"/>
        </w:rPr>
        <w:t>Option Type:</w:t>
        <w:tab/>
        <w:tab/>
        <w:tab/>
        <w:tab/>
        <w:t>Collar</w:t>
      </w:r>
    </w:p>
    <w:p>
      <w:pPr>
        <w:pStyle w:val="Normal"/>
        <w:rPr>
          <w:sz w:val="22"/>
        </w:rPr>
      </w:pPr>
      <w:r>
        <w:rPr>
          <w:sz w:val="22"/>
        </w:rPr>
        <w:tab/>
        <w:tab/>
        <w:tab/>
        <w:tab/>
        <w:tab/>
        <w:t>(Cap &amp; Floor)</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jc w:val="both"/>
              <w:rPr>
                <w:sz w:val="22"/>
              </w:rPr>
            </w:pPr>
            <w:r>
              <w:rPr>
                <w:sz w:val="22"/>
              </w:rPr>
              <w:t>Notional Quantity per</w:t>
            </w:r>
          </w:p>
          <w:p>
            <w:pPr>
              <w:pStyle w:val="Normal"/>
              <w:jc w:val="both"/>
              <w:rPr>
                <w:sz w:val="22"/>
              </w:rPr>
            </w:pPr>
            <w:r>
              <w:rPr>
                <w:sz w:val="22"/>
              </w:rPr>
              <w:t>Calculation Period:</w:t>
            </w:r>
          </w:p>
        </w:tc>
        <w:tc>
          <w:tcPr>
            <w:tcW w:w="5958"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QtyPerPeriod </w:instrText>
            </w:r>
            <w:r>
              <w:rPr>
                <w:sz w:val="22"/>
              </w:rPr>
              <w:fldChar w:fldCharType="separate"/>
            </w:r>
            <w:r>
              <w:rPr>
                <w:sz w:val="22"/>
              </w:rPr>
              <w:t>10,000 MMBtu multiplied by the number of days in the relevant Calculation Period</w:t>
            </w:r>
            <w:r>
              <w:rPr>
                <w:sz w:val="22"/>
              </w:rPr>
              <w:fldChar w:fldCharType="end"/>
            </w:r>
          </w:p>
        </w:tc>
      </w:tr>
    </w:tbl>
    <w:p>
      <w:pPr>
        <w:pStyle w:val="Normal"/>
        <w:jc w:val="both"/>
        <w:rPr>
          <w:sz w:val="22"/>
        </w:rPr>
      </w:pPr>
      <w:r>
        <w:rPr>
          <w:sz w:val="22"/>
        </w:rPr>
      </w:r>
    </w:p>
    <w:p>
      <w:pPr>
        <w:pStyle w:val="Normal"/>
        <w:jc w:val="both"/>
        <w:rPr>
          <w:sz w:val="22"/>
        </w:rPr>
      </w:pPr>
      <w:r>
        <w:rPr>
          <w:sz w:val="22"/>
        </w:rPr>
        <w:t>Commodity:</w:t>
        <w:tab/>
        <w:tab/>
        <w:tab/>
        <w:tab/>
      </w: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p>
      <w:pPr>
        <w:pStyle w:val="Normal"/>
        <w:jc w:val="both"/>
        <w:rPr>
          <w:sz w:val="22"/>
        </w:rPr>
      </w:pPr>
      <w:r>
        <w:rPr>
          <w:sz w:val="22"/>
        </w:rPr>
      </w:r>
    </w:p>
    <w:p>
      <w:pPr>
        <w:pStyle w:val="Normal"/>
        <w:jc w:val="both"/>
        <w:rPr>
          <w:sz w:val="22"/>
        </w:rPr>
      </w:pPr>
      <w:r>
        <w:rPr>
          <w:sz w:val="22"/>
        </w:rPr>
        <w:t>Commodity Unit:</w:t>
        <w:tab/>
        <w:tab/>
        <w:tab/>
        <w:t>MMBtu (One Million British Thermal Units)</w:t>
      </w:r>
    </w:p>
    <w:p>
      <w:pPr>
        <w:pStyle w:val="Normal"/>
        <w:jc w:val="both"/>
        <w:rPr>
          <w:sz w:val="22"/>
        </w:rPr>
      </w:pPr>
      <w:r>
        <w:rPr>
          <w:sz w:val="22"/>
        </w:rPr>
      </w:r>
    </w:p>
    <w:p>
      <w:pPr>
        <w:pStyle w:val="Normal"/>
        <w:jc w:val="both"/>
        <w:rPr>
          <w:sz w:val="22"/>
        </w:rPr>
      </w:pPr>
      <w:r>
        <w:rPr>
          <w:sz w:val="22"/>
        </w:rPr>
        <w:t>Trade Date:</w:t>
        <w:tab/>
        <w:tab/>
        <w:tab/>
        <w:tab/>
        <w:t>[             ]</w:t>
      </w:r>
    </w:p>
    <w:p>
      <w:pPr>
        <w:pStyle w:val="Normal"/>
        <w:jc w:val="both"/>
        <w:rPr>
          <w:sz w:val="22"/>
        </w:rPr>
      </w:pPr>
      <w:r>
        <w:rPr>
          <w:sz w:val="22"/>
        </w:rPr>
      </w:r>
    </w:p>
    <w:p>
      <w:pPr>
        <w:pStyle w:val="Normal"/>
        <w:jc w:val="both"/>
        <w:rPr>
          <w:sz w:val="22"/>
        </w:rPr>
      </w:pPr>
      <w:r>
        <w:rPr>
          <w:sz w:val="22"/>
        </w:rPr>
        <w:t>Effective Date:</w:t>
        <w:tab/>
        <w:tab/>
        <w:tab/>
        <w:tab/>
        <w:t>May 01, 2001</w:t>
      </w:r>
    </w:p>
    <w:p>
      <w:pPr>
        <w:pStyle w:val="Normal"/>
        <w:jc w:val="both"/>
        <w:rPr>
          <w:sz w:val="22"/>
        </w:rPr>
      </w:pPr>
      <w:r>
        <w:rPr>
          <w:sz w:val="22"/>
        </w:rPr>
      </w:r>
    </w:p>
    <w:p>
      <w:pPr>
        <w:pStyle w:val="Normal"/>
        <w:jc w:val="both"/>
        <w:rPr>
          <w:sz w:val="22"/>
        </w:rPr>
      </w:pPr>
      <w:r>
        <w:rPr>
          <w:sz w:val="22"/>
        </w:rPr>
        <w:t>Termination Date:</w:t>
        <w:tab/>
        <w:tab/>
        <w:tab/>
        <w:t>May 31, 2001</w:t>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jc w:val="both"/>
              <w:rPr>
                <w:sz w:val="22"/>
              </w:rPr>
            </w:pPr>
            <w:r>
              <w:rPr>
                <w:sz w:val="22"/>
              </w:rPr>
              <w:t>Calculation Period(s):</w:t>
            </w:r>
          </w:p>
        </w:tc>
        <w:tc>
          <w:tcPr>
            <w:tcW w:w="5958"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Monthly periods, with the first Calculation Period commencing on May 01, 2001 and the final Calculation Period ending on May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338"/>
        <w:gridCol w:w="5220"/>
        <w:gridCol w:w="18"/>
      </w:tblGrid>
      <w:tr>
        <w:trPr/>
        <w:tc>
          <w:tcPr>
            <w:tcW w:w="4338" w:type="dxa"/>
            <w:tcBorders/>
          </w:tcPr>
          <w:p>
            <w:pPr>
              <w:pStyle w:val="Normal"/>
              <w:jc w:val="both"/>
              <w:rPr>
                <w:sz w:val="22"/>
              </w:rPr>
            </w:pPr>
            <w:r>
              <w:rPr>
                <w:sz w:val="22"/>
              </w:rPr>
              <w:t>Payment Dates(s):</w:t>
            </w:r>
          </w:p>
        </w:tc>
        <w:tc>
          <w:tcPr>
            <w:tcW w:w="5238"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r>
        <w:trPr/>
        <w:tc>
          <w:tcPr>
            <w:tcW w:w="4338" w:type="dxa"/>
            <w:tcBorders/>
          </w:tcPr>
          <w:p>
            <w:pPr>
              <w:pStyle w:val="Normal"/>
              <w:ind w:start="90" w:end="0"/>
              <w:rPr>
                <w:sz w:val="22"/>
              </w:rPr>
            </w:pPr>
            <w:r>
              <w:rPr>
                <w:b/>
                <w:sz w:val="22"/>
              </w:rPr>
              <w:t>Cap Amount Details:</w:t>
            </w:r>
          </w:p>
        </w:tc>
        <w:tc>
          <w:tcPr>
            <w:tcW w:w="5220"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5220" w:type="dxa"/>
            <w:tcBorders/>
          </w:tcPr>
          <w:p>
            <w:pPr>
              <w:pStyle w:val="Normal"/>
              <w:snapToGrid w:val="false"/>
              <w:jc w:val="both"/>
              <w:rPr>
                <w:sz w:val="22"/>
              </w:rPr>
            </w:pPr>
            <w:r>
              <w:rPr>
                <w:sz w:val="22"/>
              </w:rPr>
            </w:r>
          </w:p>
        </w:tc>
      </w:tr>
      <w:tr>
        <w:trPr/>
        <w:tc>
          <w:tcPr>
            <w:tcW w:w="4338" w:type="dxa"/>
            <w:tcBorders/>
          </w:tcPr>
          <w:p>
            <w:pPr>
              <w:pStyle w:val="Normal"/>
              <w:numPr>
                <w:ilvl w:val="0"/>
                <w:numId w:val="0"/>
              </w:numPr>
              <w:ind w:firstLine="720" w:end="0"/>
              <w:outlineLvl w:val="0"/>
              <w:rPr>
                <w:sz w:val="22"/>
              </w:rPr>
            </w:pPr>
            <w:r>
              <w:rPr>
                <w:sz w:val="22"/>
              </w:rPr>
              <w:t>Floating Price Payor:</w:t>
            </w:r>
          </w:p>
          <w:p>
            <w:pPr>
              <w:pStyle w:val="Normal"/>
              <w:ind w:start="720" w:end="0"/>
              <w:rPr>
                <w:sz w:val="22"/>
              </w:rPr>
            </w:pPr>
            <w:r>
              <w:rPr>
                <w:sz w:val="22"/>
              </w:rPr>
              <w:t>(Cap Seller)</w:t>
            </w:r>
          </w:p>
        </w:tc>
        <w:tc>
          <w:tcPr>
            <w:tcW w:w="5220" w:type="dxa"/>
            <w:tcBorders/>
          </w:tcPr>
          <w:p>
            <w:pPr>
              <w:pStyle w:val="Normal"/>
              <w:jc w:val="both"/>
              <w:rPr>
                <w:sz w:val="22"/>
              </w:rPr>
            </w:pPr>
            <w:r>
              <w:rPr>
                <w:sz w:val="22"/>
              </w:rPr>
              <w:t>Party B</w:t>
            </w:r>
          </w:p>
        </w:tc>
      </w:tr>
      <w:tr>
        <w:trPr/>
        <w:tc>
          <w:tcPr>
            <w:tcW w:w="4338" w:type="dxa"/>
            <w:tcBorders/>
          </w:tcPr>
          <w:p>
            <w:pPr>
              <w:pStyle w:val="Normal"/>
              <w:snapToGrid w:val="false"/>
              <w:ind w:start="720" w:end="0"/>
              <w:rPr>
                <w:sz w:val="22"/>
              </w:rPr>
            </w:pPr>
            <w:r>
              <w:rPr>
                <w:sz w:val="22"/>
              </w:rPr>
            </w:r>
          </w:p>
        </w:tc>
        <w:tc>
          <w:tcPr>
            <w:tcW w:w="5220"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Cap Price:</w:t>
            </w:r>
          </w:p>
        </w:tc>
        <w:tc>
          <w:tcPr>
            <w:tcW w:w="5220" w:type="dxa"/>
            <w:tcBorders/>
          </w:tcPr>
          <w:p>
            <w:pPr>
              <w:pStyle w:val="Normal"/>
              <w:jc w:val="both"/>
              <w:rPr>
                <w:sz w:val="22"/>
              </w:rPr>
            </w:pPr>
            <w:r>
              <w:rPr>
                <w:sz w:val="22"/>
              </w:rPr>
              <w:t>U.S. $3.70000 per MMBtu</w:t>
            </w:r>
          </w:p>
        </w:tc>
      </w:tr>
      <w:tr>
        <w:trPr/>
        <w:tc>
          <w:tcPr>
            <w:tcW w:w="4338" w:type="dxa"/>
            <w:tcBorders/>
          </w:tcPr>
          <w:p>
            <w:pPr>
              <w:pStyle w:val="Normal"/>
              <w:snapToGrid w:val="false"/>
              <w:ind w:start="720" w:end="0"/>
              <w:rPr>
                <w:sz w:val="22"/>
              </w:rPr>
            </w:pPr>
            <w:r>
              <w:rPr>
                <w:sz w:val="22"/>
              </w:rPr>
            </w:r>
          </w:p>
        </w:tc>
        <w:tc>
          <w:tcPr>
            <w:tcW w:w="5220"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Floor Amount Details:</w:t>
            </w:r>
          </w:p>
        </w:tc>
        <w:tc>
          <w:tcPr>
            <w:tcW w:w="5220"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5220" w:type="dxa"/>
            <w:tcBorders/>
          </w:tcPr>
          <w:p>
            <w:pPr>
              <w:pStyle w:val="Normal"/>
              <w:snapToGrid w:val="false"/>
              <w:jc w:val="both"/>
              <w:rPr>
                <w:sz w:val="22"/>
              </w:rPr>
            </w:pPr>
            <w:r>
              <w:rPr>
                <w:sz w:val="22"/>
              </w:rPr>
            </w:r>
          </w:p>
        </w:tc>
      </w:tr>
      <w:tr>
        <w:trPr/>
        <w:tc>
          <w:tcPr>
            <w:tcW w:w="4338" w:type="dxa"/>
            <w:tcBorders/>
          </w:tcPr>
          <w:p>
            <w:pPr>
              <w:pStyle w:val="Normal"/>
              <w:numPr>
                <w:ilvl w:val="0"/>
                <w:numId w:val="0"/>
              </w:numPr>
              <w:ind w:firstLine="720" w:end="0"/>
              <w:outlineLvl w:val="0"/>
              <w:rPr>
                <w:sz w:val="22"/>
              </w:rPr>
            </w:pPr>
            <w:r>
              <w:rPr>
                <w:sz w:val="22"/>
              </w:rPr>
              <w:t>Fixed Price Payor:</w:t>
            </w:r>
          </w:p>
          <w:p>
            <w:pPr>
              <w:pStyle w:val="Normal"/>
              <w:ind w:start="720" w:end="0"/>
              <w:rPr>
                <w:sz w:val="22"/>
              </w:rPr>
            </w:pPr>
            <w:r>
              <w:rPr>
                <w:sz w:val="22"/>
              </w:rPr>
              <w:t>(Floor Seller)</w:t>
            </w:r>
          </w:p>
        </w:tc>
        <w:tc>
          <w:tcPr>
            <w:tcW w:w="5220" w:type="dxa"/>
            <w:tcBorders/>
          </w:tcPr>
          <w:p>
            <w:pPr>
              <w:pStyle w:val="Normal"/>
              <w:jc w:val="both"/>
              <w:rPr>
                <w:sz w:val="22"/>
              </w:rPr>
            </w:pPr>
            <w:r>
              <w:rPr>
                <w:sz w:val="22"/>
              </w:rPr>
              <w:t>Party A</w:t>
            </w:r>
          </w:p>
        </w:tc>
      </w:tr>
      <w:tr>
        <w:trPr/>
        <w:tc>
          <w:tcPr>
            <w:tcW w:w="4338" w:type="dxa"/>
            <w:tcBorders/>
          </w:tcPr>
          <w:p>
            <w:pPr>
              <w:pStyle w:val="Normal"/>
              <w:snapToGrid w:val="false"/>
              <w:ind w:start="720" w:end="0"/>
              <w:rPr>
                <w:sz w:val="22"/>
              </w:rPr>
            </w:pPr>
            <w:r>
              <w:rPr>
                <w:sz w:val="22"/>
              </w:rPr>
            </w:r>
          </w:p>
        </w:tc>
        <w:tc>
          <w:tcPr>
            <w:tcW w:w="5220"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Floor Price:</w:t>
            </w:r>
          </w:p>
        </w:tc>
        <w:tc>
          <w:tcPr>
            <w:tcW w:w="5220" w:type="dxa"/>
            <w:tcBorders/>
          </w:tcPr>
          <w:p>
            <w:pPr>
              <w:pStyle w:val="Normal"/>
              <w:jc w:val="both"/>
              <w:rPr>
                <w:sz w:val="22"/>
              </w:rPr>
            </w:pPr>
            <w:r>
              <w:rPr>
                <w:sz w:val="22"/>
              </w:rPr>
              <w:t>U.S. $3.45000 per MMBtu</w:t>
            </w:r>
          </w:p>
        </w:tc>
      </w:tr>
      <w:tr>
        <w:trPr/>
        <w:tc>
          <w:tcPr>
            <w:tcW w:w="4338" w:type="dxa"/>
            <w:tcBorders/>
          </w:tcPr>
          <w:p>
            <w:pPr>
              <w:pStyle w:val="Normal"/>
              <w:snapToGrid w:val="false"/>
              <w:ind w:start="720" w:end="0"/>
              <w:rPr>
                <w:sz w:val="22"/>
              </w:rPr>
            </w:pPr>
            <w:r>
              <w:rPr>
                <w:sz w:val="22"/>
              </w:rPr>
            </w:r>
          </w:p>
        </w:tc>
        <w:tc>
          <w:tcPr>
            <w:tcW w:w="5220"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ab/>
              <w:t>Floating Price:</w:t>
            </w:r>
          </w:p>
          <w:p>
            <w:pPr>
              <w:pStyle w:val="Normal"/>
              <w:rPr>
                <w:sz w:val="22"/>
              </w:rPr>
            </w:pPr>
            <w:r>
              <w:rPr>
                <w:sz w:val="22"/>
              </w:rPr>
              <w:t xml:space="preserve">            </w:t>
            </w:r>
            <w:r>
              <w:rPr>
                <w:sz w:val="22"/>
              </w:rPr>
              <w:t>(Cap and Floor)</w:t>
            </w:r>
          </w:p>
        </w:tc>
        <w:tc>
          <w:tcPr>
            <w:tcW w:w="5220" w:type="dxa"/>
            <w:tcBorders/>
          </w:tcPr>
          <w:p>
            <w:pPr>
              <w:pStyle w:val="Normal"/>
              <w:jc w:val="both"/>
              <w:rPr>
                <w:sz w:val="22"/>
              </w:rPr>
            </w:pPr>
            <w:r>
              <w:rPr>
                <w:sz w:val="22"/>
              </w:rPr>
              <w:t>The settlement price for the penultimate scheduled Trading Day of the NYMEX Henry Hub Natural Gas Futures Contract for the applicable Calculation Period</w:t>
            </w:r>
          </w:p>
          <w:p>
            <w:pPr>
              <w:pStyle w:val="Normal"/>
              <w:jc w:val="both"/>
              <w:rPr>
                <w:sz w:val="22"/>
              </w:rPr>
            </w:pPr>
            <w:r>
              <w:rPr>
                <w:sz w:val="22"/>
              </w:rPr>
            </w:r>
          </w:p>
        </w:tc>
      </w:tr>
      <w:tr>
        <w:trPr/>
        <w:tc>
          <w:tcPr>
            <w:tcW w:w="4338" w:type="dxa"/>
            <w:tcBorders/>
          </w:tcPr>
          <w:p>
            <w:pPr>
              <w:pStyle w:val="Normal"/>
              <w:ind w:start="720" w:end="0"/>
              <w:rPr>
                <w:sz w:val="22"/>
              </w:rPr>
            </w:pPr>
            <w:r>
              <w:rPr>
                <w:sz w:val="22"/>
              </w:rPr>
              <w:t>Cash Settlement Amount:</w:t>
            </w:r>
          </w:p>
        </w:tc>
        <w:tc>
          <w:tcPr>
            <w:tcW w:w="5220" w:type="dxa"/>
            <w:tcBorders/>
          </w:tcPr>
          <w:p>
            <w:pPr>
              <w:pStyle w:val="Normal"/>
              <w:jc w:val="both"/>
              <w:rPr>
                <w:sz w:val="22"/>
              </w:rPr>
            </w:pPr>
            <w:r>
              <w:rPr>
                <w:sz w:val="22"/>
              </w:rPr>
              <w:t>On the applicable Payment Date, either the Floating Price Payor will pay the Cap Cash Settlement Amount or the Fixed Price Payor will pay the Floor Cash Settlement Amount as follows:</w:t>
            </w:r>
          </w:p>
        </w:tc>
      </w:tr>
      <w:tr>
        <w:trPr/>
        <w:tc>
          <w:tcPr>
            <w:tcW w:w="4338" w:type="dxa"/>
            <w:tcBorders/>
          </w:tcPr>
          <w:p>
            <w:pPr>
              <w:pStyle w:val="Normal"/>
              <w:snapToGrid w:val="false"/>
              <w:ind w:start="720" w:end="0"/>
              <w:rPr>
                <w:sz w:val="22"/>
              </w:rPr>
            </w:pPr>
            <w:r>
              <w:rPr>
                <w:sz w:val="22"/>
              </w:rPr>
            </w:r>
          </w:p>
        </w:tc>
        <w:tc>
          <w:tcPr>
            <w:tcW w:w="5220"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Cap Cash Settlement Amount:</w:t>
            </w:r>
          </w:p>
        </w:tc>
        <w:tc>
          <w:tcPr>
            <w:tcW w:w="5220" w:type="dxa"/>
            <w:tcBorders/>
          </w:tcPr>
          <w:p>
            <w:pPr>
              <w:pStyle w:val="Normal"/>
              <w:jc w:val="both"/>
              <w:rPr>
                <w:sz w:val="22"/>
              </w:rPr>
            </w:pPr>
            <w:r>
              <w:rPr>
                <w:sz w:val="22"/>
              </w:rPr>
              <w:t>Amount payable by Floating Price Payor on the applicable Payment Date for such Calculation Period which is the product of (i) the Notional Quantity per Calculation Period and (ii) the excess, if any of the Floating Price over the Cap Price in respect of such Calculation Period</w:t>
            </w:r>
          </w:p>
        </w:tc>
      </w:tr>
      <w:tr>
        <w:trPr/>
        <w:tc>
          <w:tcPr>
            <w:tcW w:w="4338" w:type="dxa"/>
            <w:tcBorders/>
          </w:tcPr>
          <w:p>
            <w:pPr>
              <w:pStyle w:val="Normal"/>
              <w:snapToGrid w:val="false"/>
              <w:rPr>
                <w:sz w:val="22"/>
              </w:rPr>
            </w:pPr>
            <w:r>
              <w:rPr>
                <w:sz w:val="22"/>
              </w:rPr>
            </w:r>
          </w:p>
        </w:tc>
        <w:tc>
          <w:tcPr>
            <w:tcW w:w="5220"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5220" w:type="dxa"/>
            <w:tcBorders/>
          </w:tcPr>
          <w:p>
            <w:pPr>
              <w:pStyle w:val="Normal"/>
              <w:jc w:val="both"/>
              <w:rPr>
                <w:sz w:val="22"/>
              </w:rPr>
            </w:pPr>
            <w:r>
              <w:rPr>
                <w:sz w:val="22"/>
              </w:rPr>
              <w:t>OR</w:t>
            </w:r>
          </w:p>
        </w:tc>
      </w:tr>
      <w:tr>
        <w:trPr/>
        <w:tc>
          <w:tcPr>
            <w:tcW w:w="4338" w:type="dxa"/>
            <w:tcBorders/>
          </w:tcPr>
          <w:p>
            <w:pPr>
              <w:pStyle w:val="Normal"/>
              <w:snapToGrid w:val="false"/>
              <w:ind w:start="720" w:end="0"/>
              <w:rPr>
                <w:sz w:val="22"/>
              </w:rPr>
            </w:pPr>
            <w:r>
              <w:rPr>
                <w:sz w:val="22"/>
              </w:rPr>
            </w:r>
          </w:p>
        </w:tc>
        <w:tc>
          <w:tcPr>
            <w:tcW w:w="5220"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Floor Cash Settlement Amount:</w:t>
            </w:r>
          </w:p>
        </w:tc>
        <w:tc>
          <w:tcPr>
            <w:tcW w:w="5220" w:type="dxa"/>
            <w:tcBorders/>
          </w:tcPr>
          <w:p>
            <w:pPr>
              <w:pStyle w:val="Normal"/>
              <w:jc w:val="both"/>
              <w:rPr>
                <w:sz w:val="22"/>
              </w:rPr>
            </w:pPr>
            <w:r>
              <w:rPr>
                <w:sz w:val="22"/>
              </w:rPr>
              <w:t>Amount payable by Fixed Price Payor on the applicable Payment Date for such Calculation Period which is the product of (i) the Notional Quantity per Calculation Period and (ii) the excess, if any, of the Floor Price over the Floating Price in respect of such Calculation Period</w:t>
            </w:r>
          </w:p>
        </w:tc>
      </w:tr>
      <w:tr>
        <w:trPr/>
        <w:tc>
          <w:tcPr>
            <w:tcW w:w="4338" w:type="dxa"/>
            <w:tcBorders/>
          </w:tcPr>
          <w:p>
            <w:pPr>
              <w:pStyle w:val="Normal"/>
              <w:snapToGrid w:val="false"/>
              <w:ind w:start="720" w:end="0"/>
              <w:rPr>
                <w:sz w:val="22"/>
              </w:rPr>
            </w:pPr>
            <w:r>
              <w:rPr>
                <w:sz w:val="22"/>
              </w:rPr>
            </w:r>
          </w:p>
        </w:tc>
        <w:tc>
          <w:tcPr>
            <w:tcW w:w="5220" w:type="dxa"/>
            <w:tcBorders/>
          </w:tcPr>
          <w:p>
            <w:pPr>
              <w:pStyle w:val="Normal"/>
              <w:snapToGrid w:val="false"/>
              <w:jc w:val="both"/>
              <w:rPr>
                <w:sz w:val="22"/>
              </w:rPr>
            </w:pPr>
            <w:r>
              <w:rPr>
                <w:sz w:val="22"/>
              </w:rPr>
            </w:r>
          </w:p>
        </w:tc>
      </w:tr>
      <w:tr>
        <w:trPr>
          <w:trHeight w:val="261" w:hRule="atLeast"/>
        </w:trPr>
        <w:tc>
          <w:tcPr>
            <w:tcW w:w="9576" w:type="dxa"/>
            <w:gridSpan w:val="2"/>
            <w:tcBorders/>
          </w:tcPr>
          <w:p>
            <w:pPr>
              <w:pStyle w:val="Normal"/>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p>
      <w:pPr>
        <w:pStyle w:val="Normal"/>
        <w:rPr>
          <w:sz w:val="22"/>
        </w:rPr>
      </w:pPr>
      <w:r>
        <w:rPr>
          <w:sz w:val="22"/>
        </w:rPr>
        <w:tab/>
        <w:tab/>
        <w:tab/>
        <w:tab/>
        <w:tab/>
        <w:t>Yours sincerely,</w:t>
      </w:r>
    </w:p>
    <w:p>
      <w:pPr>
        <w:pStyle w:val="Normal"/>
        <w:rPr>
          <w:sz w:val="22"/>
        </w:rPr>
      </w:pPr>
      <w:r>
        <w:rPr>
          <w:sz w:val="22"/>
        </w:rPr>
      </w:r>
    </w:p>
    <w:p>
      <w:pPr>
        <w:pStyle w:val="Normal"/>
        <w:rPr>
          <w:sz w:val="22"/>
        </w:rPr>
      </w:pPr>
      <w:r>
        <w:rPr>
          <w:sz w:val="22"/>
        </w:rPr>
        <w:tab/>
        <w:tab/>
        <w:tab/>
        <w:tab/>
        <w:tab/>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r>
    </w:p>
    <w:p>
      <w:pPr>
        <w:pStyle w:val="Normal"/>
        <w:rPr>
          <w:sz w:val="22"/>
        </w:rPr>
      </w:pPr>
      <w:r>
        <w:rPr>
          <w:sz w:val="22"/>
        </w:rPr>
        <w:tab/>
        <w:tab/>
        <w:tab/>
        <w:tab/>
        <w:tab/>
        <w:t xml:space="preserve">By: </w:t>
      </w:r>
    </w:p>
    <w:p>
      <w:pPr>
        <w:pStyle w:val="Normal"/>
        <w:rPr>
          <w:sz w:val="22"/>
        </w:rPr>
      </w:pPr>
      <w:r>
        <w:rPr>
          <w:sz w:val="22"/>
        </w:rPr>
        <w:tab/>
        <w:tab/>
        <w:tab/>
        <w:tab/>
        <w:tab/>
        <w:t xml:space="preserve">Name: </w:t>
      </w:r>
    </w:p>
    <w:p>
      <w:pPr>
        <w:pStyle w:val="Normal"/>
        <w:rPr>
          <w:sz w:val="22"/>
        </w:rPr>
      </w:pPr>
      <w:r>
        <w:rPr>
          <w:sz w:val="22"/>
        </w:rPr>
        <w:tab/>
        <w:tab/>
        <w:tab/>
        <w:tab/>
        <w:tab/>
        <w:t xml:space="preserve">Title:    </w:t>
      </w:r>
    </w:p>
    <w:p>
      <w:pPr>
        <w:pStyle w:val="Normal"/>
        <w:rPr>
          <w:sz w:val="22"/>
        </w:rPr>
      </w:pPr>
      <w:r>
        <w:rPr>
          <w:sz w:val="22"/>
        </w:rPr>
      </w:r>
    </w:p>
    <w:p>
      <w:pPr>
        <w:pStyle w:val="Normal"/>
        <w:rPr>
          <w:sz w:val="22"/>
        </w:rPr>
      </w:pPr>
      <w:r>
        <w:rPr>
          <w:sz w:val="22"/>
        </w:rPr>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Bank of America, National Association</w:t>
      </w:r>
    </w:p>
    <w:p>
      <w:pPr>
        <w:pStyle w:val="Normal"/>
        <w:rPr>
          <w:sz w:val="22"/>
        </w:rPr>
      </w:pPr>
      <w:r>
        <w:rPr>
          <w:sz w:val="22"/>
        </w:rPr>
      </w:r>
    </w:p>
    <w:p>
      <w:pPr>
        <w:pStyle w:val="Normal"/>
        <w:rPr>
          <w:sz w:val="22"/>
        </w:rPr>
      </w:pPr>
      <w:r>
        <w:rPr>
          <w:sz w:val="22"/>
        </w:rPr>
        <w:t>By:  _________________________________</w:t>
      </w:r>
    </w:p>
    <w:p>
      <w:pPr>
        <w:pStyle w:val="Normal"/>
        <w:rPr>
          <w:sz w:val="22"/>
        </w:rPr>
      </w:pPr>
      <w:r>
        <w:rPr>
          <w:sz w:val="22"/>
        </w:rPr>
        <w:t xml:space="preserve">Name: </w:t>
      </w:r>
    </w:p>
    <w:p>
      <w:pPr>
        <w:pStyle w:val="Normal"/>
        <w:rPr>
          <w:sz w:val="22"/>
        </w:rPr>
      </w:pPr>
      <w:r>
        <w:rPr>
          <w:sz w:val="22"/>
        </w:rPr>
        <w:t>Title:</w:t>
      </w:r>
    </w:p>
    <w:sectPr>
      <w:headerReference w:type="default" r:id="rId3"/>
      <w:type w:val="nextPage"/>
      <w:pgSz w:w="12240" w:h="15840"/>
      <w:pgMar w:left="1440" w:right="1440" w:gutter="0" w:header="72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2000-08-31T13:29:00Z</dcterms:created>
  <dc:creator>ECT</dc:creator>
  <dc:description/>
  <dc:language>en-CA</dc:language>
  <cp:lastModifiedBy>jhunte2</cp:lastModifiedBy>
  <dcterms:modified xsi:type="dcterms:W3CDTF">2000-08-31T13:29:00Z</dcterms:modified>
  <cp:revision>2</cp:revision>
  <dc:subject>TransCanada Energy Financial Products Limited</dc:subject>
  <dc:title>NK7079.1</dc:title>
</cp:coreProperties>
</file>