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CA"/>
        </w:rPr>
      </w:r>
      <w:r>
        <w:rPr/>
        <w:tab/>
        <w:t xml:space="preserve">2.__.   </w:t>
      </w:r>
      <w:r>
        <w:rPr>
          <w:u w:val="single"/>
        </w:rPr>
        <w:t>Employment Matters</w:t>
      </w:r>
      <w:r>
        <w:rPr/>
        <w:t xml:space="preserve">.  </w:t>
      </w:r>
      <w:r>
        <w:rPr>
          <w:u w:val="single"/>
        </w:rPr>
        <w:t>Schedule 2.__</w:t>
      </w:r>
      <w:r>
        <w:rPr/>
        <w:t xml:space="preserve"> of the Disclosure Schedule sets forth a list of all employees of MENY (</w:t>
      </w:r>
      <w:r>
        <w:rPr>
          <w:b/>
        </w:rPr>
        <w:t>“Employees”</w:t>
      </w:r>
      <w:r>
        <w:rPr/>
        <w:t xml:space="preserve">) and their current annual salaries.  Meny is not a party to any collective bargaining agreements with any unions, guilds, shop committees or other collective bargaining groups representing or purporting to represent any of its Employees. Except as set forth in </w:t>
      </w:r>
      <w:r>
        <w:rPr>
          <w:u w:val="single"/>
        </w:rPr>
        <w:t>Schedule 2.__</w:t>
      </w:r>
      <w:r>
        <w:rPr/>
        <w:t xml:space="preserve"> of the Disclosure Schedule: (a) MENY has complied, and is in compliance, in all material respects with all applicable laws respecting employment and employment practices, employment terms and conditions of employment, including any provisions thereof relating to wages, hours, collective bargaining and the payment of social security, unemployment and similar Taxes; (b) there is no unfair labor practice charge or complaint against MENY pending or, to the Knowledge of Seller, threatened; (c) there is no labor strike, general employment dispute, request for representation, union organization effort, work slowdown or stoppage pending or, to the Knowledge of Seller, threatened against or affecting MENY; (d) there are no administrative charges or court complaints against MENY concerning alleged employment discrimination or other employment related matters pending or, to the Knowledge of Seller, threatened before the U.S. Equal Employment Opportunity Commission or any other Governmental Entity; and (e) no person has, to the Knowledge of Seller, asserted that MENY has any liability for any arrearages of wages or any Taxes or penalties for failure to comply with any of the foregoing.</w:t>
      </w:r>
    </w:p>
    <w:p>
      <w:pPr>
        <w:pStyle w:val="Normal"/>
        <w:rPr/>
      </w:pPr>
      <w:r>
        <w:rPr/>
      </w:r>
    </w:p>
    <w:p>
      <w:pPr>
        <w:pStyle w:val="Normal"/>
        <w:rPr/>
      </w:pPr>
      <w:r>
        <w:rPr/>
        <w:tab/>
        <w:t>2.__.  </w:t>
      </w:r>
      <w:r>
        <w:rPr>
          <w:u w:val="single"/>
        </w:rPr>
        <w:t>Employee Benefit Plans</w:t>
      </w:r>
      <w:r>
        <w:fldChar w:fldCharType="begin"/>
      </w:r>
      <w:r>
        <w:rPr/>
        <w:instrText xml:space="preserve"> TC "</w:instrText>
        <w:tab/>
        <w:instrText xml:space="preserve"/>
        <w:tab/>
        <w:instrText xml:space="preserve">Section 3.19.  Employee Benefit Plans " \l 2 </w:instrText>
      </w:r>
      <w:r>
        <w:rPr/>
        <w:fldChar w:fldCharType="separate"/>
      </w:r>
      <w:r>
        <w:rPr/>
      </w:r>
      <w:r>
        <w:rPr/>
        <w:fldChar w:fldCharType="end"/>
      </w:r>
      <w:r>
        <w:rPr/>
        <w:t>.</w:t>
      </w:r>
    </w:p>
    <w:p>
      <w:pPr>
        <w:pStyle w:val="Normal"/>
        <w:rPr/>
      </w:pPr>
      <w:r>
        <w:rPr/>
      </w:r>
    </w:p>
    <w:p>
      <w:pPr>
        <w:pStyle w:val="Normal"/>
        <w:ind w:start="720" w:end="0"/>
        <w:rPr/>
      </w:pPr>
      <w:r>
        <w:rPr/>
        <w:t>(a)</w:t>
        <w:tab/>
      </w:r>
      <w:r>
        <w:rPr>
          <w:u w:val="single"/>
        </w:rPr>
        <w:t>Disclosure</w:t>
      </w:r>
      <w:r>
        <w:rPr/>
        <w:t xml:space="preserve"> </w:t>
      </w:r>
      <w:r>
        <w:fldChar w:fldCharType="begin"/>
      </w:r>
      <w:r>
        <w:rPr/>
        <w:instrText xml:space="preserve"> TC "(a)</w:instrText>
        <w:tab/>
        <w:instrText xml:space="preserve">Disclosure " \l 3 </w:instrText>
      </w:r>
      <w:r>
        <w:rPr/>
        <w:fldChar w:fldCharType="separate"/>
      </w:r>
      <w:r>
        <w:rPr/>
      </w:r>
      <w:r>
        <w:rPr/>
        <w:fldChar w:fldCharType="end"/>
      </w:r>
      <w:r>
        <w:rPr/>
        <w:t xml:space="preserve">.  </w:t>
      </w:r>
      <w:r>
        <w:rPr>
          <w:u w:val="single"/>
        </w:rPr>
        <w:t>Schedule 2.__</w:t>
      </w:r>
      <w:r>
        <w:rPr/>
        <w:t xml:space="preserve"> of the Disclosure Schedule sets forth a true, complete and correct list of all pension, thrift, savings, profit sharing, retirement, incentive bonus or other bonus, medical, dental, life, accident insurance, benefit, employee welfare, disability, group insurance, stock purchase, stock option, stock appreciation, stock bonus, executive or deferred compensation, loan, hospitalization and other similar fringe or employee benefit plans, programs and arrangements, and any employment or consulting contracts, “golden parachutes,” severance agreements or plans, vacation and sick leave plans, programs, arrangements and policies, including all “employee benefit plans” (as defined in Section 3(3) of ERISA), all employee manuals, and all written or binding oral statements of policies, practices or understandings relating to employment (collectively, the </w:t>
      </w:r>
      <w:r>
        <w:rPr>
          <w:b/>
        </w:rPr>
        <w:t>“Employee Plans and Agreements”</w:t>
      </w:r>
      <w:r>
        <w:rPr/>
        <w:t xml:space="preserve">), which are provided to, for the benefit of or relate to the Employees and/or directors of MENY, including any former Employees or directors of MENY. Seller has furnished Buyer with true, complete and correct copies of: (i) all of the Employee Plans and Agreements, including all amendments thereto and all summary plan descriptions thereof, (ii) the most recent liability valuation report with respect to each of the Employee Plans and Agreements for which a report or estimate has been prepared, (iii) the most recent assets valuation report with respect to each of the Employee Plans and Agreements for which a report or estimate is required to have been prepared, (iv) the most recent annual report (form 5500) filed with respect to each of the Employee Plans and Agreements for which such report must be filed and (v) the most recent favorable Internal Revenue Service determination letter received with respect to each of the Employee Plans and Agreements that is intended to be qualified under Section 401(a) of the Code or trust intended to be exempt under Section 501(a) or Section 501(c)(9) of the Code. </w:t>
      </w:r>
    </w:p>
    <w:p>
      <w:pPr>
        <w:pStyle w:val="Normal"/>
        <w:rPr/>
      </w:pPr>
      <w:r>
        <w:rPr/>
      </w:r>
    </w:p>
    <w:p>
      <w:pPr>
        <w:pStyle w:val="Normal"/>
        <w:ind w:start="720" w:end="0"/>
        <w:rPr/>
      </w:pPr>
      <w:r>
        <w:rPr/>
        <w:t>(b)</w:t>
        <w:tab/>
      </w:r>
      <w:r>
        <w:rPr>
          <w:u w:val="single"/>
        </w:rPr>
        <w:t>Compliance with Laws and Plan Terms; Qualification and Exemption; Title IV of ERISA</w:t>
      </w:r>
      <w:r>
        <w:rPr/>
        <w:t xml:space="preserve"> </w:t>
      </w:r>
      <w:r>
        <w:fldChar w:fldCharType="begin"/>
      </w:r>
      <w:r>
        <w:rPr/>
        <w:instrText xml:space="preserve"> TC "(b)</w:instrText>
        <w:tab/>
        <w:instrText xml:space="preserve">Compliance with Laws and Plan Terms; Qualification and Exemption; Title IV of ERISA " \l 3 </w:instrText>
      </w:r>
      <w:r>
        <w:rPr/>
        <w:fldChar w:fldCharType="separate"/>
      </w:r>
      <w:r>
        <w:rPr/>
      </w:r>
      <w:r>
        <w:rPr/>
        <w:fldChar w:fldCharType="end"/>
      </w:r>
      <w:r>
        <w:rPr/>
        <w:t xml:space="preserve">.  With respect to each of the Employee Plans and Agreements, MENY has complied in all material respects with, and each of the Employee Plans and Agreements conforms in all material respects to and has from its inception been operated in all material respects in compliance with, all applicable Laws, including ERISA and the Code, and each of the Employee Plans and Agreements has been administered in all material respects in accordance with its terms.  All contributions required to be made to any of the Employee Plans and Agreements and all premiums for insurance coverage for each fiscal year for each of the Employee Plans and Agreements ended before the date hereof, and for any portion of a fiscal year ending on the Closing Date, have been timely paid, or with respect to payments to be made but not yet due, have been properly accrued and recorded in the Financial Statements.  Each of the Employee Plans and Agreements that is intended to be qualified under Section 401(a) of the Code and each trust intended to be exempt under Section 501(a) or Section 501(c)(9) of the Code (the </w:t>
      </w:r>
      <w:r>
        <w:rPr>
          <w:b/>
        </w:rPr>
        <w:t>“Qualified Plans”</w:t>
      </w:r>
      <w:r>
        <w:rPr/>
        <w:t xml:space="preserve">) is qualified or exempt, as the case may be.  Except as set forth in </w:t>
      </w:r>
      <w:r>
        <w:rPr>
          <w:u w:val="single"/>
        </w:rPr>
        <w:t>Schedule 2.__</w:t>
      </w:r>
      <w:r>
        <w:rPr/>
        <w:t xml:space="preserve"> of the Disclosure Schedule (i) none of the Employee Plans and Agreements is subject to Title IV of ERISA and (ii) each of the Qualified Plans is a single plan, as defined in Section 414(l) of the Code and the regulations thereunder, in which MENY is the sole employer.</w:t>
      </w:r>
    </w:p>
    <w:p>
      <w:pPr>
        <w:pStyle w:val="Normal"/>
        <w:rPr/>
      </w:pPr>
      <w:r>
        <w:rPr/>
      </w:r>
    </w:p>
    <w:p>
      <w:pPr>
        <w:pStyle w:val="Normal"/>
        <w:ind w:start="720" w:end="0"/>
        <w:rPr/>
      </w:pPr>
      <w:r>
        <w:rPr/>
        <w:t>(c)</w:t>
        <w:tab/>
      </w:r>
      <w:r>
        <w:rPr>
          <w:u w:val="single"/>
        </w:rPr>
        <w:t>Liabilities; Claims and Proceedings; Terminations</w:t>
      </w:r>
      <w:r>
        <w:rPr/>
        <w:t xml:space="preserve"> </w:t>
      </w:r>
      <w:r>
        <w:fldChar w:fldCharType="begin"/>
      </w:r>
      <w:r>
        <w:rPr/>
        <w:instrText xml:space="preserve"> TC "(c)</w:instrText>
        <w:tab/>
        <w:instrText xml:space="preserve">Liabilities; Claims and Proceedings; Terminations " \l 3 </w:instrText>
      </w:r>
      <w:r>
        <w:rPr/>
        <w:fldChar w:fldCharType="separate"/>
      </w:r>
      <w:r>
        <w:rPr/>
      </w:r>
      <w:r>
        <w:rPr/>
        <w:fldChar w:fldCharType="end"/>
      </w:r>
      <w:r>
        <w:rPr/>
        <w:t xml:space="preserve">.  No event or condition has occurred or exists (including any contingent withdrawal liability event under Section 4204 of ERISA) with respect to any “employee benefit plan” (as defined in Section 3(3) of ERISA, including any “multiemployer plan” as defined in Section 4001(a)(3) of ERISA), whether or not maintained or contributed to by MENY or any of its Affiliates, which individually or collectively could result in a material liability to MENY under Title IV of ERISA.  There is no material pending or, to the Knowledge of Seller, threatened or anticipated claims (other than undisputed claims for the payment of benefits in accordance with the terms thereof), grievance or allegation of unfair labor practice (or any basis therefor) involving any of the Employee Plans and Agreements or any investigation, proceeding, administrative review or other administrative agency process pending or, to the Knowledge of Seller, threatened which could result in the imposition upon MENY or any of its Affiliates of any material penalty, assessment or liability in connection with any of the Employee Plans and Agreements, individually or collectively.  Except as set forth on </w:t>
      </w:r>
      <w:r>
        <w:rPr>
          <w:u w:val="single"/>
        </w:rPr>
        <w:t>Schedule 2.__</w:t>
      </w:r>
      <w:r>
        <w:rPr/>
        <w:t xml:space="preserve"> of the Disclosure Schedule, each of the Employee Plans and Agreements can be unilaterally terminated at any time by MENY or any of its Affiliates without any liability to any person.</w:t>
      </w:r>
    </w:p>
    <w:p>
      <w:pPr>
        <w:pStyle w:val="Normal"/>
        <w:rPr/>
      </w:pPr>
      <w:r>
        <w:rPr/>
      </w:r>
    </w:p>
    <w:p>
      <w:pPr>
        <w:pStyle w:val="Normal"/>
        <w:ind w:start="720" w:end="0"/>
        <w:rPr/>
      </w:pPr>
      <w:r>
        <w:rPr/>
        <w:t>(d)</w:t>
        <w:tab/>
      </w:r>
      <w:r>
        <w:rPr>
          <w:u w:val="single"/>
        </w:rPr>
        <w:t>Prohibited Transactions; Reportable Events</w:t>
      </w:r>
      <w:r>
        <w:rPr/>
        <w:t xml:space="preserve"> </w:t>
      </w:r>
      <w:r>
        <w:fldChar w:fldCharType="begin"/>
      </w:r>
      <w:r>
        <w:rPr/>
        <w:instrText xml:space="preserve"> TC "(d)</w:instrText>
        <w:tab/>
        <w:instrText xml:space="preserve">Prohibited Transactions; Reportable Events " \l 3 </w:instrText>
      </w:r>
      <w:r>
        <w:rPr/>
        <w:fldChar w:fldCharType="separate"/>
      </w:r>
      <w:r>
        <w:rPr/>
      </w:r>
      <w:r>
        <w:rPr/>
        <w:fldChar w:fldCharType="end"/>
      </w:r>
      <w:r>
        <w:rPr/>
        <w:t xml:space="preserve">.  None of MENY, the officers of the MENY, the Employee Plans and Agreements or any fiduciary of any of the Employee Plans and Agreements has engaged or is about to engage in a “prohibited transaction” (as defined in Section 406 of ERISA or Section 4975 of the Code, a </w:t>
      </w:r>
      <w:r>
        <w:rPr>
          <w:b/>
        </w:rPr>
        <w:t>“Prohibited Transaction”</w:t>
      </w:r>
      <w:r>
        <w:rPr/>
        <w:t xml:space="preserve">) or any other breach of fiduciary responsibility and no “reportable event” (as defined in Section 4043 of ERISA) has occurred or is about to occur, in either case, which could result in any material liability to MENY or any of its Affiliates. </w:t>
      </w:r>
    </w:p>
    <w:p>
      <w:pPr>
        <w:pStyle w:val="Normal"/>
        <w:rPr/>
      </w:pPr>
      <w:r>
        <w:rPr/>
      </w:r>
    </w:p>
    <w:p>
      <w:pPr>
        <w:pStyle w:val="Normal"/>
        <w:ind w:start="720" w:end="0"/>
        <w:rPr/>
      </w:pPr>
      <w:r>
        <w:rPr/>
        <w:t>(e)</w:t>
        <w:tab/>
      </w:r>
      <w:r>
        <w:rPr>
          <w:u w:val="single"/>
        </w:rPr>
        <w:t>No Triggering of Obligations</w:t>
      </w:r>
      <w:r>
        <w:rPr/>
        <w:t xml:space="preserve"> </w:t>
      </w:r>
      <w:r>
        <w:fldChar w:fldCharType="begin"/>
      </w:r>
      <w:r>
        <w:rPr/>
        <w:instrText xml:space="preserve"> TC "(e)</w:instrText>
        <w:tab/>
        <w:instrText xml:space="preserve">No Triggering of Obligations " \l 3 </w:instrText>
      </w:r>
      <w:r>
        <w:rPr/>
        <w:fldChar w:fldCharType="separate"/>
      </w:r>
      <w:r>
        <w:rPr/>
      </w:r>
      <w:r>
        <w:rPr/>
        <w:fldChar w:fldCharType="end"/>
      </w:r>
      <w:r>
        <w:rPr/>
        <w:t>.  With respect to each of the Employee Benefit Plans and Arrangements, the execution and delivery by the Seller of this Agreement and the consummation of the transactions contemplated hereby do not and will not: (i) entitle any Employee to severance pay, unemployment compensation or any other payment; (ii) accelerate the time of payment or vesting, or increase the amount of compensation due to any Employee; or (iii) result in any Prohibited Transaction for which an exemption is not available.</w:t>
      </w:r>
    </w:p>
    <w:p>
      <w:pPr>
        <w:pStyle w:val="Normal"/>
        <w:rPr/>
      </w:pPr>
      <w:r>
        <w:rPr/>
      </w:r>
    </w:p>
    <w:p>
      <w:pPr>
        <w:pStyle w:val="Normal"/>
        <w:ind w:start="720" w:end="0"/>
        <w:rPr/>
      </w:pPr>
      <w:r>
        <w:rPr/>
        <w:t>(f)</w:t>
        <w:tab/>
      </w:r>
      <w:r>
        <w:rPr>
          <w:u w:val="single"/>
        </w:rPr>
        <w:t>Future Commitments</w:t>
      </w:r>
      <w:r>
        <w:rPr/>
        <w:t xml:space="preserve"> </w:t>
      </w:r>
      <w:r>
        <w:fldChar w:fldCharType="begin"/>
      </w:r>
      <w:r>
        <w:rPr/>
        <w:instrText xml:space="preserve"> TC "(f)</w:instrText>
        <w:tab/>
        <w:instrText xml:space="preserve">Future Commitments " \l 3 </w:instrText>
      </w:r>
      <w:r>
        <w:rPr/>
        <w:fldChar w:fldCharType="separate"/>
      </w:r>
      <w:r>
        <w:rPr/>
      </w:r>
      <w:r>
        <w:rPr/>
        <w:fldChar w:fldCharType="end"/>
      </w:r>
      <w:r>
        <w:rPr/>
        <w:t xml:space="preserve">.  Except as set forth in </w:t>
      </w:r>
      <w:r>
        <w:rPr>
          <w:u w:val="single"/>
        </w:rPr>
        <w:t>Schedule 2.__</w:t>
      </w:r>
      <w:r>
        <w:rPr/>
        <w:t xml:space="preserve"> of the Disclosure Schedule, MENY has no commitment and has not taken any action to adopt or establish any additional Employee Plans and Agreements or to materially increase the benefits under any of the existing Employee Plans and Agreements.  None of the Employee Plans and Agreements provides (or has any obligation or commitment to provide) health benefits with respect to any current or former Employees, directors or independent contractors (or any beneficiary thereof) of MENY or any of its Affiliates beyond their retirement or other termination of service (other than coverage mandated by Title I, Part 6 of ERISA, Subtitle B, which coverage is fully paid by the former Employee, independent contractor or his or her dependents).</w:t>
      </w:r>
    </w:p>
    <w:p>
      <w:pPr>
        <w:pStyle w:val="Normal"/>
        <w:ind w:start="720" w:end="0"/>
        <w:rPr/>
      </w:pPr>
      <w:r>
        <w:rPr/>
      </w:r>
    </w:p>
    <w:p>
      <w:pPr>
        <w:pStyle w:val="Normal"/>
        <w:ind w:start="720" w:end="0"/>
        <w:rPr/>
      </w:pPr>
      <w:r>
        <w:rPr/>
        <w:t>(g)</w:t>
        <w:tab/>
      </w:r>
      <w:r>
        <w:rPr>
          <w:u w:val="single"/>
        </w:rPr>
        <w:t>Employee Communications</w:t>
      </w:r>
      <w:r>
        <w:rPr/>
        <w:t>.  MENY shall take all necessary action to ensure that neither MENY, any officer of MENY, nor any fiduciary of any of the Employee Plans or Arrangements who is an employee of MENY makes any generally disseminated written or oral representations to any Employee or any participant in any Employee Plans or Arrangements prior to the Closing concerning the transactions contemplated by this Agreement or the effect such transactions will have on the Employee Plans and Arrangements that is inconsistent with the terms of such Employee Plans and Arrangements without the prior written consent of Buyer.  None of the persons in the preceding sentence has made any such representations to any such Employee or participant prior to the execution of this Agreement.</w:t>
      </w:r>
    </w:p>
    <w:p>
      <w:pPr>
        <w:pStyle w:val="BodyText"/>
        <w:spacing w:before="0" w:after="240"/>
        <w:jc w:val="both"/>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553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bookmarkStart w:id="0" w:name="bkFooterDocID"/>
                          <w:bookmarkEnd w:id="0"/>
                          <w:r>
                            <w:rPr>
                              <w:sz w:val="16"/>
                            </w:rPr>
                            <w:fldChar w:fldCharType="begin"/>
                          </w:r>
                          <w:r>
                            <w:rPr>
                              <w:sz w:val="16"/>
                            </w:rPr>
                            <w:instrText xml:space="preserve"> DOCPROPERTY "Cus_DocIDValue"</w:instrText>
                          </w:r>
                          <w:r>
                            <w:rPr>
                              <w:sz w:val="16"/>
                            </w:rPr>
                            <w:fldChar w:fldCharType="separate"/>
                          </w:r>
                          <w:r>
                            <w:rPr>
                              <w:sz w:val="16"/>
                            </w:rPr>
                            <w:t>HOU:676977.2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bookmarkStart w:id="1" w:name="bkFooterDocID"/>
                    <w:bookmarkEnd w:id="1"/>
                    <w:r>
                      <w:rPr>
                        <w:sz w:val="16"/>
                      </w:rPr>
                      <w:fldChar w:fldCharType="begin"/>
                    </w:r>
                    <w:r>
                      <w:rPr>
                        <w:sz w:val="16"/>
                      </w:rPr>
                      <w:instrText xml:space="preserve"> DOCPROPERTY "Cus_DocIDValue"</w:instrText>
                    </w:r>
                    <w:r>
                      <w:rPr>
                        <w:sz w:val="16"/>
                      </w:rPr>
                      <w:fldChar w:fldCharType="separate"/>
                    </w:r>
                    <w:r>
                      <w:rPr>
                        <w:sz w:val="16"/>
                      </w:rPr>
                      <w:t>HOU:676977.2 </w:t>
                    </w:r>
                    <w:r>
                      <w:rP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Normal"/>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2001-07-27T22:22:00Z</dcterms:created>
  <dc:creator> </dc:creator>
  <dc:description> </dc:description>
  <dc:language>en-CA</dc:language>
  <cp:lastModifiedBy>A&amp;K</cp:lastModifiedBy>
  <dcterms:modified xsi:type="dcterms:W3CDTF">2001-07-27T22:22:00Z</dcterms:modified>
  <cp:revision>2</cp:revision>
  <dc:subject>Original Filename: </dc:subject>
  <dc:title/>
</cp:coreProperties>
</file>