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FF0000"/>
          <w:sz w:val="32"/>
        </w:rPr>
      </w:pPr>
      <w:r>
        <w:rPr>
          <w:color w:val="FF0000"/>
          <w:sz w:val="32"/>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w:rPr>
          <w:rFonts w:eastAsia="Arial"/>
          <w:color w:val="FF0000"/>
          <w:sz w:val="32"/>
        </w:rPr>
        <w:t xml:space="preserve"> </w:t>
      </w:r>
      <w:r>
        <w:rPr>
          <w:color w:val="FF0000"/>
          <w:sz w:val="32"/>
        </w:rPr>
        <w:tab/>
        <w:tab/>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pPr>
            <w:r>
              <w:rPr>
                <w:sz w:val="16"/>
              </w:rPr>
              <w:t>To</w:t>
            </w:r>
            <w:r>
              <w:rPr>
                <w:sz w:val="20"/>
              </w:rPr>
              <w:t>:</w:t>
            </w:r>
          </w:p>
        </w:tc>
        <w:tc>
          <w:tcPr>
            <w:tcW w:w="6045" w:type="dxa"/>
            <w:tcBorders/>
          </w:tcPr>
          <w:p>
            <w:pPr>
              <w:pStyle w:val="To"/>
              <w:rPr/>
            </w:pPr>
            <w:r>
              <w:rPr/>
              <w:t>William Keeney</w:t>
            </w:r>
          </w:p>
        </w:tc>
        <w:tc>
          <w:tcPr>
            <w:tcW w:w="990" w:type="dxa"/>
            <w:tcBorders/>
          </w:tcPr>
          <w:p>
            <w:pPr>
              <w:pStyle w:val="Normal"/>
              <w:snapToGrid w:val="false"/>
              <w:ind w:start="-180" w:end="0"/>
              <w:rPr>
                <w:sz w:val="20"/>
              </w:rPr>
            </w:pPr>
            <w:r>
              <w:rPr>
                <w:sz w:val="20"/>
              </w:rPr>
            </w:r>
          </w:p>
        </w:tc>
        <w:tc>
          <w:tcPr>
            <w:tcW w:w="2965" w:type="dxa"/>
            <w:tcBorders/>
          </w:tcPr>
          <w:p>
            <w:pPr>
              <w:pStyle w:val="Normal"/>
              <w:snapToGrid w:val="false"/>
              <w:rPr>
                <w:sz w:val="20"/>
              </w:rPr>
            </w:pPr>
            <w:r>
              <w:rPr>
                <w:sz w:val="20"/>
              </w:rPr>
            </w:r>
          </w:p>
        </w:tc>
      </w:tr>
      <w:tr>
        <w:trPr>
          <w:trHeight w:val="216" w:hRule="exact"/>
        </w:trPr>
        <w:tc>
          <w:tcPr>
            <w:tcW w:w="708" w:type="dxa"/>
            <w:tcBorders/>
          </w:tcPr>
          <w:p>
            <w:pPr>
              <w:pStyle w:val="Normal"/>
              <w:snapToGrid w:val="false"/>
              <w:ind w:start="-180" w:end="0"/>
              <w:jc w:val="end"/>
              <w:rPr>
                <w:sz w:val="20"/>
              </w:rPr>
            </w:pPr>
            <w:r>
              <w:rPr>
                <w:sz w:val="20"/>
              </w:rPr>
            </w:r>
          </w:p>
        </w:tc>
        <w:tc>
          <w:tcPr>
            <w:tcW w:w="6045" w:type="dxa"/>
            <w:tcBorders/>
          </w:tcPr>
          <w:p>
            <w:pPr>
              <w:pStyle w:val="Normal"/>
              <w:snapToGrid w:val="false"/>
              <w:rPr>
                <w:sz w:val="20"/>
              </w:rPr>
            </w:pPr>
            <w:r>
              <w:rPr>
                <w:sz w:val="20"/>
              </w:rPr>
            </w:r>
          </w:p>
        </w:tc>
        <w:tc>
          <w:tcPr>
            <w:tcW w:w="990" w:type="dxa"/>
            <w:tcBorders/>
          </w:tcPr>
          <w:p>
            <w:pPr>
              <w:pStyle w:val="Normal"/>
              <w:snapToGrid w:val="false"/>
              <w:ind w:start="-180" w:end="0"/>
              <w:rPr>
                <w:sz w:val="20"/>
              </w:rPr>
            </w:pPr>
            <w:r>
              <w:rPr>
                <w:sz w:val="20"/>
              </w:rPr>
            </w:r>
          </w:p>
        </w:tc>
        <w:tc>
          <w:tcPr>
            <w:tcW w:w="2965" w:type="dxa"/>
            <w:tcBorders/>
          </w:tcPr>
          <w:p>
            <w:pPr>
              <w:pStyle w:val="Normal"/>
              <w:snapToGrid w:val="false"/>
              <w:rPr>
                <w:sz w:val="20"/>
              </w:rPr>
            </w:pPr>
            <w:r>
              <w:rPr>
                <w:sz w:val="20"/>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 xml:space="preserve">Don Rollins, Rick Bittner </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RAC</w:t>
            </w:r>
          </w:p>
        </w:tc>
      </w:tr>
      <w:tr>
        <w:trPr>
          <w:trHeight w:val="216" w:hRule="exact"/>
        </w:trPr>
        <w:tc>
          <w:tcPr>
            <w:tcW w:w="708" w:type="dxa"/>
            <w:tcBorders/>
          </w:tcPr>
          <w:p>
            <w:pPr>
              <w:pStyle w:val="Normal"/>
              <w:snapToGrid w:val="false"/>
              <w:ind w:start="-180" w:end="0"/>
              <w:jc w:val="end"/>
              <w:rPr>
                <w:sz w:val="20"/>
              </w:rPr>
            </w:pPr>
            <w:r>
              <w:rPr>
                <w:sz w:val="20"/>
              </w:rPr>
            </w:r>
          </w:p>
        </w:tc>
        <w:tc>
          <w:tcPr>
            <w:tcW w:w="6045" w:type="dxa"/>
            <w:tcBorders/>
          </w:tcPr>
          <w:p>
            <w:pPr>
              <w:pStyle w:val="Normal"/>
              <w:snapToGrid w:val="false"/>
              <w:rPr>
                <w:sz w:val="20"/>
              </w:rPr>
            </w:pPr>
            <w:r>
              <w:rPr>
                <w:sz w:val="20"/>
              </w:rPr>
            </w:r>
          </w:p>
        </w:tc>
        <w:tc>
          <w:tcPr>
            <w:tcW w:w="990" w:type="dxa"/>
            <w:tcBorders/>
          </w:tcPr>
          <w:p>
            <w:pPr>
              <w:pStyle w:val="Normal"/>
              <w:snapToGrid w:val="false"/>
              <w:ind w:start="-180" w:end="0"/>
              <w:rPr>
                <w:sz w:val="20"/>
              </w:rPr>
            </w:pPr>
            <w:r>
              <w:rPr>
                <w:sz w:val="20"/>
              </w:rPr>
            </w:r>
          </w:p>
        </w:tc>
        <w:tc>
          <w:tcPr>
            <w:tcW w:w="2965" w:type="dxa"/>
            <w:tcBorders/>
          </w:tcPr>
          <w:p>
            <w:pPr>
              <w:pStyle w:val="Normal"/>
              <w:snapToGrid w:val="false"/>
              <w:rPr>
                <w:sz w:val="20"/>
              </w:rPr>
            </w:pPr>
            <w:r>
              <w:rPr>
                <w:sz w:val="20"/>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Brooklyn Navy Yard Cogeneration Partners</w:t>
            </w:r>
          </w:p>
        </w:tc>
        <w:tc>
          <w:tcPr>
            <w:tcW w:w="990" w:type="dxa"/>
            <w:tcBorders>
              <w:bottom w:val="single" w:sz="12" w:space="0" w:color="000000"/>
            </w:tcBorders>
          </w:tcPr>
          <w:p>
            <w:pPr>
              <w:pStyle w:val="Normal"/>
              <w:tabs>
                <w:tab w:val="clear" w:pos="540"/>
              </w:tabs>
              <w:ind w:start="-180" w:end="0"/>
              <w:jc w:val="end"/>
              <w:rPr>
                <w:sz w:val="16"/>
              </w:rPr>
            </w:pPr>
            <w:r>
              <w:rPr>
                <w:sz w:val="16"/>
              </w:rPr>
              <w:t>Date:</w:t>
            </w:r>
          </w:p>
        </w:tc>
        <w:tc>
          <w:tcPr>
            <w:tcW w:w="2965" w:type="dxa"/>
            <w:tcBorders>
              <w:bottom w:val="single" w:sz="12" w:space="0" w:color="000000"/>
            </w:tcBorders>
          </w:tcPr>
          <w:p>
            <w:pPr>
              <w:pStyle w:val="Date"/>
              <w:rPr/>
            </w:pPr>
            <w:r>
              <w:rPr/>
              <w:t>July 27, 2001</w:t>
            </w:r>
          </w:p>
        </w:tc>
      </w:tr>
    </w:tbl>
    <w:p>
      <w:pPr>
        <w:pStyle w:val="Body"/>
        <w:rPr/>
      </w:pPr>
      <w:bookmarkStart w:id="1" w:name="StartOfMemo"/>
      <w:bookmarkEnd w:id="1"/>
      <w:r>
        <w:rPr/>
        <w:t>We have performed a limited scope financial due diligence for the subject transaction. The scope was to identify contingent liabilities, additional costs and risk factors associated with the structure of this transaction and with the counterparty.   Procedures performed included review of the Environmental Site Assessment report, Technical and Operational due diligence report, partnership audited financials, miscellaneous accounting information, Legal due diligence, and the Limited Partnership Agreement.  Our findings are as follows.</w:t>
      </w:r>
    </w:p>
    <w:p>
      <w:pPr>
        <w:pStyle w:val="Body"/>
        <w:rPr/>
      </w:pPr>
      <w:r>
        <w:rPr/>
      </w:r>
    </w:p>
    <w:p>
      <w:pPr>
        <w:pStyle w:val="Body"/>
        <w:pBdr>
          <w:top w:val="double" w:sz="4" w:space="1" w:color="000000"/>
          <w:left w:val="double" w:sz="4" w:space="4" w:color="000000"/>
          <w:bottom w:val="double" w:sz="4" w:space="1" w:color="000000"/>
          <w:right w:val="double" w:sz="4" w:space="4" w:color="000000"/>
        </w:pBdr>
        <w:ind w:start="720" w:end="0"/>
        <w:rPr>
          <w:b/>
        </w:rPr>
      </w:pPr>
      <w:r>
        <w:rPr>
          <w:b/>
        </w:rPr>
        <w:t>Findings and Recommendations</w:t>
      </w:r>
    </w:p>
    <w:p>
      <w:pPr>
        <w:pStyle w:val="Body"/>
        <w:pBdr>
          <w:top w:val="double" w:sz="4" w:space="1" w:color="000000"/>
          <w:left w:val="double" w:sz="4" w:space="4" w:color="000000"/>
          <w:bottom w:val="double" w:sz="4" w:space="1" w:color="000000"/>
          <w:right w:val="double" w:sz="4" w:space="4" w:color="000000"/>
        </w:pBdr>
        <w:ind w:start="720" w:end="0"/>
        <w:rPr>
          <w:b/>
        </w:rPr>
      </w:pPr>
      <w:r>
        <w:rPr>
          <w:b/>
        </w:rPr>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0"/>
        <w:rPr>
          <w:b/>
          <w:i/>
          <w:i/>
        </w:rPr>
      </w:pPr>
      <w:r>
        <w:rPr>
          <w:b/>
          <w:i/>
        </w:rPr>
        <w:t>Lawsuit ($137MM) - Our review revealed a significant financial risk related to the PMNC lawsuit (see below) and the credit worthiness of Edison Mission Energy.</w:t>
      </w:r>
    </w:p>
    <w:p>
      <w:pPr>
        <w:pStyle w:val="Body"/>
        <w:numPr>
          <w:ilvl w:val="0"/>
          <w:numId w:val="2"/>
        </w:numPr>
        <w:pBdr>
          <w:top w:val="double" w:sz="4" w:space="1" w:color="000000"/>
          <w:left w:val="double" w:sz="4" w:space="4" w:color="000000"/>
          <w:bottom w:val="double" w:sz="4" w:space="1" w:color="000000"/>
          <w:right w:val="double" w:sz="4" w:space="4" w:color="000000"/>
        </w:pBdr>
        <w:tabs>
          <w:tab w:val="left" w:pos="1080" w:leader="none"/>
        </w:tabs>
        <w:ind w:hanging="360" w:start="1080" w:end="0"/>
        <w:rPr>
          <w:b/>
          <w:i/>
          <w:i/>
        </w:rPr>
      </w:pPr>
      <w:r>
        <w:rPr>
          <w:b/>
          <w:i/>
        </w:rPr>
        <w:t>Other findings are shown below:</w:t>
      </w:r>
    </w:p>
    <w:p>
      <w:pPr>
        <w:pStyle w:val="Body"/>
        <w:rPr>
          <w:b/>
          <w:i/>
          <w:i/>
        </w:rPr>
      </w:pPr>
      <w:r>
        <w:rPr>
          <w:b/>
          <w:i/>
        </w:rPr>
      </w:r>
    </w:p>
    <w:p>
      <w:pPr>
        <w:pStyle w:val="Body"/>
        <w:numPr>
          <w:ilvl w:val="0"/>
          <w:numId w:val="2"/>
        </w:numPr>
        <w:tabs>
          <w:tab w:val="left" w:pos="432" w:leader="none"/>
        </w:tabs>
        <w:ind w:hanging="360" w:start="432" w:end="0"/>
        <w:rPr>
          <w:bCs/>
        </w:rPr>
      </w:pPr>
      <w:r>
        <w:rPr>
          <w:b/>
        </w:rPr>
        <w:t xml:space="preserve">Legal </w:t>
      </w:r>
      <w:r>
        <w:rPr>
          <w:bCs/>
        </w:rPr>
        <w:t xml:space="preserve"> – Plant was designed and constructed by Parsons Main Nabb Construction LM Comstock (PMNC), a joint venture led by Parsons Main of New York, Inc., which included Nabb Construction Corp. and L.K. Comstock Company.  PMNC is suing Brooklyn Navy Yard Cogeneration Partners, LP (BNYCP), the General Partners, Mission Energy New York, Inc and B-41 Associates, LP.  The suit is for unpaid work order changes, unpaid performance bonus, unreimbursed sales taxes paid by PMNC, wrongfull draw down of a letter of credit, substantial and material breaches of the Agreement, and a ruling that Parsons is not obligated to perform or pay PMNC’s obligations under the Agreement.  The total amount of the lawsuit is for $136.8MM plus interest, cost of lawsuit, and attorney fees.  The Partnership has counter sued for general monetary claims for approximately $13MM.  The new plant has had a number of tube leaks and the Partnership has added this item to the lawsuit.  Per the Technical and Operational Due Diligence report, which states that the Partnership’s lawsuit, related to tube leaks, won’t go well because of the obvious poor plant chemistry that can be attributed to the water treatment plant being commissioned after commercial operation of the power plant and the plant personnel may not have paid close enough attention to boiler water chemistry early on.  Legal gives a reasonable likelihood of settlement at $37MM.      </w:t>
      </w:r>
    </w:p>
    <w:p>
      <w:pPr>
        <w:pStyle w:val="Body"/>
        <w:numPr>
          <w:ilvl w:val="0"/>
          <w:numId w:val="2"/>
        </w:numPr>
        <w:tabs>
          <w:tab w:val="left" w:pos="432" w:leader="none"/>
        </w:tabs>
        <w:ind w:hanging="360" w:start="432" w:end="0"/>
        <w:rPr>
          <w:bCs/>
        </w:rPr>
      </w:pPr>
      <w:r>
        <w:rPr>
          <w:b/>
        </w:rPr>
        <w:t xml:space="preserve">Credit Risk </w:t>
      </w:r>
      <w:r>
        <w:rPr>
          <w:bCs/>
        </w:rPr>
        <w:t xml:space="preserve">– Edison Mission Energy, parent of Mission Energy (EME), has agreed to indemnify and hold harmless the Partnership and B-41 from all claims and costs of the lawsuit.  The concern is that EME has an e-rating of 8 and may not be able to indemnify the Partnership, if the lawsuit is won by PMNC.  Per legal, as long as the PMNC litigation indemnity is outstanding, an EME bankruptcy, insolvency or failure to make required payment under the Indemnity constitutes events of default on the Bonds.  Per the current draft of the agreement, $25MM will be deposited into an escrow account, in the event that EME is unable to meet its obligations under the indemnification agreement.  </w:t>
      </w:r>
    </w:p>
    <w:p>
      <w:pPr>
        <w:pStyle w:val="Body"/>
        <w:numPr>
          <w:ilvl w:val="0"/>
          <w:numId w:val="2"/>
        </w:numPr>
        <w:tabs>
          <w:tab w:val="left" w:pos="432" w:leader="none"/>
        </w:tabs>
        <w:ind w:hanging="360" w:start="432" w:end="0"/>
        <w:rPr>
          <w:bCs/>
        </w:rPr>
      </w:pPr>
      <w:r>
        <w:rPr>
          <w:b/>
        </w:rPr>
        <w:t>Accounting/Financial –</w:t>
      </w:r>
      <w:r>
        <w:rPr>
          <w:bCs/>
        </w:rPr>
        <w:t xml:space="preserve"> We have reviewed requested documents but were unable to talk to Mission Energy to discuss our list of due diligence questions.  Remaining issues are related to the cash balance adjustment and cash available for distribution.  </w:t>
      </w:r>
    </w:p>
    <w:p>
      <w:pPr>
        <w:pStyle w:val="Body"/>
        <w:numPr>
          <w:ilvl w:val="0"/>
          <w:numId w:val="2"/>
        </w:numPr>
        <w:tabs>
          <w:tab w:val="left" w:pos="432" w:leader="none"/>
        </w:tabs>
        <w:ind w:hanging="360" w:start="432" w:end="0"/>
        <w:rPr>
          <w:bCs/>
        </w:rPr>
      </w:pPr>
      <w:r>
        <w:rPr>
          <w:b/>
        </w:rPr>
        <w:t xml:space="preserve">Potential Future Capital Commitments </w:t>
      </w:r>
      <w:r>
        <w:rPr>
          <w:bCs/>
        </w:rPr>
        <w:t>– Re-tubing 60% of both boilers due to major tube leaks at a cost of $6MM each, inlet chiller systems to enhance gas turbine output at a cost of approximately $4MM and if required to become a fully merchant plant, $4MM of capital expenditures to install auxiliary boilers.</w:t>
      </w:r>
    </w:p>
    <w:p>
      <w:pPr>
        <w:pStyle w:val="Body"/>
        <w:rPr>
          <w:bCs/>
        </w:rPr>
      </w:pPr>
      <w:r>
        <w:rPr>
          <w:bCs/>
        </w:rPr>
      </w:r>
    </w:p>
    <w:p>
      <w:pPr>
        <w:pStyle w:val="Body"/>
        <w:rPr>
          <w:b/>
        </w:rPr>
      </w:pPr>
      <w:r>
        <w:rPr>
          <w:bCs/>
        </w:rPr>
        <w:t>If you have questions, please call me at x39008.</w:t>
      </w:r>
    </w:p>
    <w:p>
      <w:pPr>
        <w:pStyle w:val="Body"/>
        <w:rPr>
          <w:b/>
          <w:color w:val="000000"/>
        </w:rPr>
      </w:pPr>
      <w:r>
        <w:rPr>
          <w:b/>
          <w:color w:val="000000"/>
        </w:rPr>
      </w:r>
    </w:p>
    <w:p>
      <w:pPr>
        <w:pStyle w:val="Body"/>
        <w:rPr>
          <w:color w:val="000000"/>
        </w:rPr>
      </w:pPr>
      <w:r>
        <w:rPr>
          <w:color w:val="000000"/>
        </w:rPr>
        <w:t>cc:  Rick Buy, Rick Carson, Dave Gorte, Chip Schneider, Angela Davis, David Marks, Greg Martin</w:t>
      </w:r>
    </w:p>
    <w:sectPr>
      <w:headerReference w:type="default" r:id="rId3"/>
      <w:headerReference w:type="first" r:id="rId4"/>
      <w:footerReference w:type="default" r:id="rId5"/>
      <w:footerReference w:type="first" r:id="rId6"/>
      <w:type w:val="nextPage"/>
      <w:pgSz w:w="12240" w:h="15840"/>
      <w:pgMar w:left="720" w:right="720" w:gutter="0" w:header="720" w:top="1008"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Arial"/>
      </w:rPr>
      <w:t xml:space="preserve"> </w:t>
    </w:r>
    <w:r>
      <w:rPr/>
      <w:tab/>
      <w:t>9/29/00</w:t>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w:t>
                          </w:r>
                        </w:p>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w:t>
                    </w:r>
                  </w:p>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1094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2001-06-20T19:14:00Z</dcterms:created>
  <dc:creator>Jeff Ford</dc:creator>
  <dc:description/>
  <dc:language>en-CA</dc:language>
  <cp:lastModifiedBy>RBITTNE</cp:lastModifiedBy>
  <cp:lastPrinted>2001-07-27T15:19:00Z</cp:lastPrinted>
  <dcterms:modified xsi:type="dcterms:W3CDTF">2001-07-27T19:03:00Z</dcterms:modified>
  <cp:revision>28</cp:revision>
  <dc:subject>Syntroleum visit 7/2000</dc:subject>
  <dc:title>Eron Capital &amp; Trade Resources Memo</dc:title>
</cp:coreProperties>
</file>