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strike/>
          <w:u w:val="single"/>
        </w:rPr>
        <w:t>Section8.9(a)</w:t>
      </w:r>
      <w:r>
        <w:rPr>
          <w:u w:val="single"/>
        </w:rPr>
        <w:t xml:space="preserve"> 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w:t>
      </w:r>
    </w:p>
    <w:p>
      <w:pPr>
        <w:pStyle w:val="BodyTextFirstIndent"/>
        <w:widowControl/>
        <w:rPr/>
      </w:pPr>
      <w:r>
        <w:rPr/>
        <w:t>“</w:t>
      </w:r>
      <w:r>
        <w:rPr>
          <w:u w:val="single"/>
        </w:rPr>
        <w:t>Affiliate</w:t>
      </w:r>
      <w:r>
        <w:rPr/>
        <w:t xml:space="preserve">” means, with respect to any Person, each other Person that directly or indirectly (through one or more intermediaries or otherwise) controls, is controlled by or is under common control with such Person, but Seller and its Affiliates (other </w:t>
      </w:r>
      <w:r>
        <w:rPr>
          <w:u w:val="single"/>
        </w:rPr>
        <w:t>than</w:t>
      </w:r>
      <w:r>
        <w:rPr/>
        <w:t xml:space="preserve"> Northern Border Limited Partnership and its subsidiaries, including Purchaser) shall not be considered Affiliates of Purchaser, and Northern Border Limited Partnership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u w:val="single"/>
        </w:rPr>
      </w:pPr>
      <w:r>
        <w:rPr>
          <w:u w:val="single"/>
        </w:rPr>
        <w:t>“</w:t>
      </w:r>
      <w:r>
        <w:rPr>
          <w:u w:val="single"/>
        </w:rPr>
        <w:t>Audit Committee Approval”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pPr>
      <w:r>
        <w:rPr/>
        <w:t>“</w:t>
      </w:r>
      <w:r>
        <w:rPr>
          <w:u w:val="single"/>
        </w:rPr>
        <w:t>Big Horn</w:t>
      </w:r>
      <w:r>
        <w:rPr/>
        <w:t>” means Big Horn Gas Gathering, L.L.C., a Delaware limited liability company.</w:t>
      </w:r>
    </w:p>
    <w:p>
      <w:pPr>
        <w:pStyle w:val="BodyTextFirstIndent"/>
        <w:widowControl/>
        <w:rPr/>
      </w:pPr>
      <w:r>
        <w:rPr/>
        <w:t>“</w:t>
      </w:r>
      <w:r>
        <w:rPr>
          <w:u w:val="single"/>
        </w:rPr>
        <w:t>Claimant</w:t>
      </w:r>
      <w:r>
        <w:rPr/>
        <w:t xml:space="preserve">” has the meaning specified in </w:t>
      </w:r>
      <w:r>
        <w:rPr>
          <w:strike/>
          <w:u w:val="single"/>
        </w:rPr>
        <w:t>Section8.9(b)</w:t>
      </w:r>
      <w:r>
        <w:rPr>
          <w:u w:val="single"/>
        </w:rPr>
        <w:t xml:space="preserve"> 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xml:space="preserve">” means </w:t>
      </w:r>
      <w:r>
        <w:rPr>
          <w:strike/>
        </w:rPr>
        <w:t>_______</w:t>
      </w:r>
      <w:r>
        <w:rPr>
          <w:u w:val="single"/>
        </w:rPr>
        <w:t>September 15</w:t>
      </w:r>
      <w:r>
        <w:rPr/>
        <w:t>,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widowControl/>
        <w:rPr>
          <w:u w:val="single"/>
        </w:rPr>
      </w:pPr>
      <w:r>
        <w:rPr>
          <w:u w:val="single"/>
        </w:rPr>
        <w:t>“</w:t>
      </w:r>
      <w:r>
        <w:rPr>
          <w:u w:val="single"/>
        </w:rPr>
        <w:t>Credit Support Obligations” means the credit support and guarantee obligations described in Schedule 1.1(a).</w:t>
      </w:r>
    </w:p>
    <w:p>
      <w:pPr>
        <w:pStyle w:val="BodyTextFirstIndent"/>
        <w:widowControl/>
        <w:rPr/>
      </w:pPr>
      <w:r>
        <w:rPr/>
        <w:t>“</w:t>
      </w:r>
      <w:r>
        <w:rPr>
          <w:u w:val="single"/>
        </w:rPr>
        <w:t>Disclosure Schedule</w:t>
      </w:r>
      <w:r>
        <w:rPr/>
        <w:t>” means the Schedules included in the Disclosure Schedule attached hereto.  Sections of the Disclosure Schedule</w:t>
      </w:r>
      <w:r>
        <w:rPr>
          <w:b/>
          <w:bCs/>
        </w:rPr>
        <w:t xml:space="preserve"> </w:t>
      </w:r>
      <w:r>
        <w:rPr/>
        <w:t xml:space="preserve">correspond to sections of this Agreement. </w:t>
      </w:r>
    </w:p>
    <w:p>
      <w:pPr>
        <w:pStyle w:val="BodyTextFirstIndent"/>
        <w:widowControl/>
        <w:rPr/>
      </w:pPr>
      <w:r>
        <w:rPr/>
        <w:t>“</w:t>
      </w:r>
      <w:r>
        <w:rPr>
          <w:u w:val="single"/>
        </w:rPr>
        <w:t>Dispute</w:t>
      </w:r>
      <w:r>
        <w:rPr/>
        <w:t xml:space="preserve">” has the meaning specified in </w:t>
      </w:r>
      <w:r>
        <w:rPr>
          <w:strike/>
          <w:u w:val="single"/>
        </w:rPr>
        <w:t>Section8.9(a)</w:t>
      </w:r>
      <w:r>
        <w:rPr>
          <w:u w:val="single"/>
        </w:rPr>
        <w:t xml:space="preserve"> Section 9.9(a)</w:t>
      </w:r>
      <w:r>
        <w:rPr/>
        <w:t>.</w:t>
      </w:r>
    </w:p>
    <w:p>
      <w:pPr>
        <w:pStyle w:val="BodyTextFirstIndent"/>
        <w:widowControl/>
        <w:rPr/>
      </w:pPr>
      <w:r>
        <w:rPr/>
        <w:t>“</w:t>
      </w:r>
      <w:r>
        <w:rPr>
          <w:u w:val="single"/>
        </w:rPr>
        <w:t>Effective Date</w:t>
      </w:r>
      <w:r>
        <w:rPr/>
        <w:t xml:space="preserve">” means 7:00 a.m., </w:t>
      </w:r>
      <w:r>
        <w:rPr>
          <w:u w:val="single"/>
        </w:rPr>
        <w:t>prevailing local time in the Central time zone, on July 1, 2000.</w:t>
      </w:r>
      <w:r>
        <w:rPr/>
        <w:t xml:space="preserve"> </w:t>
      </w:r>
      <w:r>
        <w:rPr>
          <w:strike/>
        </w:rPr>
        <w:t>Central Prevailing Time, on July 1, 2000.</w:t>
      </w:r>
    </w:p>
    <w:p>
      <w:pPr>
        <w:pStyle w:val="BodyTextFirstIndent"/>
        <w:widowControl/>
        <w:rPr>
          <w:strike/>
        </w:rPr>
      </w:pPr>
      <w:r>
        <w:rPr>
          <w:strike/>
        </w:rPr>
        <w:t>“</w:t>
      </w:r>
      <w:r>
        <w:rPr>
          <w:strike/>
        </w:rPr>
        <w:t>Employment Agreements” means the employment agreements executed between certain Transferred Employees and the Management Company in the forms attached hereto as Exhibit A, as provided in the Management Agreement.</w:t>
      </w:r>
    </w:p>
    <w:p>
      <w:pPr>
        <w:pStyle w:val="BodyTextFirstIndent"/>
        <w:widowControl/>
        <w:rPr/>
      </w:pPr>
      <w:r>
        <w:rPr/>
        <w:t xml:space="preserve"> “</w:t>
      </w:r>
      <w:r>
        <w:rPr>
          <w:u w:val="single"/>
        </w:rPr>
        <w:t>EMS</w:t>
      </w:r>
      <w:r>
        <w:rPr/>
        <w:t>” is defined in the Recitals to this Agreement.</w:t>
      </w:r>
    </w:p>
    <w:p>
      <w:pPr>
        <w:pStyle w:val="BodyTextFirstIndent"/>
        <w:widowControl/>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widowControl/>
        <w:rPr/>
      </w:pPr>
      <w:r>
        <w:rPr/>
        <w:t>“</w:t>
      </w:r>
      <w:r>
        <w:rPr>
          <w:u w:val="single"/>
        </w:rPr>
        <w:t>EMS Gathering System</w:t>
      </w:r>
      <w:r>
        <w:rPr/>
        <w:t xml:space="preserve">” means the gas gathering system of EMS as existing on the date of this Agreement located in </w:t>
      </w:r>
      <w:r>
        <w:rPr>
          <w:strike/>
        </w:rPr>
        <w:t>____________ Counties</w:t>
      </w:r>
      <w:r>
        <w:rPr/>
        <w:t xml:space="preserve"> </w:t>
      </w:r>
      <w:r>
        <w:rPr>
          <w:u w:val="single"/>
        </w:rPr>
        <w:t>Campbell County</w:t>
      </w:r>
      <w:r>
        <w:rPr/>
        <w:t xml:space="preserve">,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Existing EMS Gas Gathering Contracts</w:t>
      </w:r>
      <w:r>
        <w:rPr/>
        <w:t xml:space="preserve">” means the contracts and agreements listed in </w:t>
      </w:r>
      <w:r>
        <w:rPr>
          <w:u w:val="single"/>
        </w:rPr>
        <w:t xml:space="preserve">Schedule </w:t>
      </w:r>
      <w:r>
        <w:rPr>
          <w:strike/>
          <w:u w:val="single"/>
        </w:rPr>
        <w:t>1.1(a)</w:t>
      </w:r>
      <w:r>
        <w:rPr>
          <w:u w:val="single"/>
        </w:rPr>
        <w:t xml:space="preserv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for the period ending on _________,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 xml:space="preserve">Schedule </w:t>
      </w:r>
      <w:r>
        <w:rPr>
          <w:strike/>
          <w:u w:val="single"/>
        </w:rPr>
        <w:t>1.1(b)</w:t>
      </w:r>
      <w:r>
        <w:rPr>
          <w:u w:val="single"/>
        </w:rPr>
        <w:t xml:space="preserv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xml:space="preserve">” means </w:t>
      </w:r>
      <w:r>
        <w:rPr>
          <w:strike/>
        </w:rPr>
        <w:t>_____________.</w:t>
      </w:r>
      <w:r>
        <w:rPr/>
        <w:t xml:space="preserve"> </w:t>
      </w:r>
      <w:r>
        <w:rPr>
          <w:u w:val="single"/>
        </w:rPr>
        <w:t>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widowControl/>
        <w:rPr/>
      </w:pPr>
      <w:r>
        <w:rPr/>
        <w:t>“</w:t>
      </w:r>
      <w:r>
        <w:rPr>
          <w:u w:val="single"/>
        </w:rPr>
        <w:t>Management Company</w:t>
      </w:r>
      <w:r>
        <w:rPr/>
        <w:t>” means ___________________.</w:t>
      </w:r>
    </w:p>
    <w:p>
      <w:pPr>
        <w:pStyle w:val="BodyTextFirstIndent"/>
        <w:widowControl/>
        <w:rPr/>
      </w:pPr>
      <w:r>
        <w:rPr/>
        <w:t>“</w:t>
      </w:r>
      <w:r>
        <w:rPr>
          <w:u w:val="single"/>
        </w:rPr>
        <w:t>Material</w:t>
      </w:r>
      <w:r>
        <w:rPr/>
        <w:t>”</w:t>
      </w:r>
      <w:r>
        <w:rPr>
          <w:b/>
          <w:bCs/>
        </w:rPr>
        <w:t xml:space="preserve"> </w:t>
      </w:r>
      <w:r>
        <w:rPr/>
        <w:t>or “</w:t>
      </w:r>
      <w:r>
        <w:rPr>
          <w:u w:val="single"/>
        </w:rPr>
        <w:t>Materially</w:t>
      </w:r>
      <w:r>
        <w:rPr/>
        <w:t xml:space="preserve">” (whether or not capitalized) means circumstances or results having an economic effect in excess of </w:t>
      </w:r>
      <w:r>
        <w:rPr>
          <w:strike/>
        </w:rPr>
        <w:t>[$2,000,000]</w:t>
      </w:r>
      <w:r>
        <w:rPr/>
        <w:t xml:space="preserve"> </w:t>
      </w:r>
      <w:r>
        <w:rPr>
          <w:u w:val="single"/>
        </w:rPr>
        <w:t>$500,000</w:t>
      </w:r>
      <w:r>
        <w:rPr/>
        <w:t>, except as otherwise specified.</w:t>
      </w:r>
    </w:p>
    <w:p>
      <w:pPr>
        <w:pStyle w:val="BodyTextFirstIndent"/>
        <w:widowControl/>
        <w:rPr/>
      </w:pPr>
      <w:r>
        <w:rPr/>
        <w:t>“</w:t>
      </w:r>
      <w:r>
        <w:rPr>
          <w:u w:val="single"/>
        </w:rPr>
        <w:t>Material Adverse Effect</w:t>
      </w:r>
      <w:r>
        <w:rPr/>
        <w:t>” means</w:t>
      </w:r>
      <w:r>
        <w:rPr>
          <w:u w:val="single"/>
        </w:rPr>
        <w:t>:</w:t>
      </w:r>
      <w:r>
        <w:rPr/>
        <w:t xml:space="preserve">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xml:space="preserve">” means:  </w:t>
      </w:r>
      <w:r>
        <w:rPr>
          <w:strike/>
        </w:rPr>
        <w:t>(a)any Existing EMS Gas Gathering Contract; (b)each</w:t>
      </w:r>
      <w:r>
        <w:rPr>
          <w:u w:val="single"/>
        </w:rPr>
        <w:t>(a)</w:t>
      </w:r>
      <w:r>
        <w:rPr/>
        <w:t> </w:t>
      </w:r>
      <w:r>
        <w:rPr>
          <w:u w:val="single"/>
        </w:rPr>
        <w:t>each</w:t>
      </w:r>
      <w:r>
        <w:rPr/>
        <w:t xml:space="preserve"> Firm Gas Gathering Agreement and NCO Agreement; </w:t>
      </w:r>
      <w:r>
        <w:rPr>
          <w:strike/>
        </w:rPr>
        <w:t>(c)each</w:t>
      </w:r>
      <w:r>
        <w:rPr>
          <w:u w:val="single"/>
        </w:rPr>
        <w:t>(b)</w:t>
      </w:r>
      <w:r>
        <w:rPr/>
        <w:t> </w:t>
      </w:r>
      <w:r>
        <w:rPr>
          <w:u w:val="single"/>
        </w:rPr>
        <w:t>each</w:t>
      </w:r>
      <w:r>
        <w:rPr/>
        <w:t xml:space="preserve"> contract or agreement (oral or written) that involves performance of services or delivery of goods or materials by a Transferred Company of an amount or value in excess of $500,000; and </w:t>
      </w:r>
      <w:r>
        <w:rPr>
          <w:strike/>
        </w:rPr>
        <w:t>(d)each</w:t>
      </w:r>
      <w:r>
        <w:rPr>
          <w:u w:val="single"/>
        </w:rPr>
        <w:t>(c)</w:t>
      </w:r>
      <w:r>
        <w:rPr/>
        <w:t> </w:t>
      </w:r>
      <w:r>
        <w:rPr>
          <w:u w:val="single"/>
        </w:rPr>
        <w:t>each</w:t>
      </w:r>
      <w:r>
        <w:rPr/>
        <w:t xml:space="preserve"> contract or agreement (oral or written) that involves performance of services or delivery of goods or materials to a Transferred Company of an amount or value in excess of $500,000.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u w:val="single"/>
        </w:rPr>
      </w:pPr>
      <w:r>
        <w:rPr>
          <w:u w:val="single"/>
        </w:rPr>
        <w:t>“</w:t>
      </w:r>
      <w:r>
        <w:rPr>
          <w:u w:val="single"/>
        </w:rPr>
        <w:t>NBP Gathering Agreement” means the gas gathering agreement to be entered into between Seller and Purchaser in the form attached hereto as Exhibit A.</w:t>
      </w:r>
    </w:p>
    <w:p>
      <w:pPr>
        <w:pStyle w:val="BodyTextFirstIndent"/>
        <w:widowControl/>
        <w:rPr/>
      </w:pPr>
      <w:r>
        <w:rPr/>
        <w:t>“</w:t>
      </w:r>
      <w:r>
        <w:rPr>
          <w:u w:val="single"/>
        </w:rPr>
        <w:t>NCO Agreements</w:t>
      </w:r>
      <w:r>
        <w:rPr/>
        <w:t xml:space="preserve">” means the agreements described in </w:t>
      </w:r>
      <w:r>
        <w:rPr>
          <w:u w:val="single"/>
        </w:rPr>
        <w:t xml:space="preserve">Schedule </w:t>
      </w:r>
      <w:r>
        <w:rPr>
          <w:strike/>
          <w:u w:val="single"/>
        </w:rPr>
        <w:t>1.1(c)</w:t>
      </w:r>
      <w:r>
        <w:rPr>
          <w:u w:val="single"/>
        </w:rPr>
        <w:t xml:space="preserv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w:t>
      </w:r>
    </w:p>
    <w:p>
      <w:pPr>
        <w:pStyle w:val="BodyTextFirstIndent"/>
        <w:widowControl/>
        <w:rPr/>
      </w:pPr>
      <w:r>
        <w:rPr/>
        <w:t>“</w:t>
      </w:r>
      <w:r>
        <w:rPr>
          <w:u w:val="single"/>
        </w:rPr>
        <w:t>Permits</w:t>
      </w:r>
      <w:r>
        <w:rPr/>
        <w:t xml:space="preserve">” shall have the meaning specified in </w:t>
      </w:r>
      <w:r>
        <w:rPr>
          <w:u w:val="single"/>
        </w:rPr>
        <w:t>Section 3.1(m)</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5.3</w:t>
      </w:r>
      <w:r>
        <w:rPr/>
        <w:t>.</w:t>
      </w:r>
    </w:p>
    <w:p>
      <w:pPr>
        <w:pStyle w:val="BodyTextFirstIndent"/>
        <w:widowControl/>
        <w:rPr/>
      </w:pPr>
      <w:r>
        <w:rPr/>
        <w:t>“</w:t>
      </w:r>
      <w:r>
        <w:rPr>
          <w:u w:val="single"/>
        </w:rPr>
        <w:t>Request</w:t>
      </w:r>
      <w:r>
        <w:rPr/>
        <w:t xml:space="preserve">” has the meaning specified in </w:t>
      </w:r>
      <w:r>
        <w:rPr>
          <w:strike/>
          <w:u w:val="single"/>
        </w:rPr>
        <w:t>Section8.9(b).</w:t>
      </w:r>
    </w:p>
    <w:p>
      <w:pPr>
        <w:pStyle w:val="BodyTextFirstIndent"/>
        <w:widowControl/>
        <w:rPr>
          <w:u w:val="single"/>
        </w:rPr>
      </w:pPr>
      <w:r>
        <w:rPr>
          <w:u w:val="single"/>
        </w:rPr>
        <w:t>Section 9.9(b).</w:t>
      </w:r>
    </w:p>
    <w:p>
      <w:pPr>
        <w:pStyle w:val="BodyTextFirstIndent"/>
        <w:widowControl/>
        <w:rPr>
          <w:u w:val="single"/>
        </w:rPr>
      </w:pPr>
      <w:r>
        <w:rPr>
          <w:u w:val="single"/>
        </w:rPr>
        <w:t>“</w:t>
      </w:r>
      <w:r>
        <w:rPr>
          <w:u w:val="single"/>
        </w:rPr>
        <w:t>Reserve Account” means the account held by EWR in the amount of $3,465,000 to fund anticipated capital expenditures to Lost Creek in connection with the term conversion of the financing of the Lost Creek Credit Agreement described in Schedule 1.1(a).</w:t>
      </w:r>
    </w:p>
    <w:p>
      <w:pPr>
        <w:pStyle w:val="BodyTextFirstIndent"/>
        <w:widowControl/>
        <w:rPr/>
      </w:pPr>
      <w:r>
        <w:rPr/>
        <w:t>“</w:t>
      </w:r>
      <w:r>
        <w:rPr>
          <w:u w:val="single"/>
        </w:rPr>
        <w:t>Respondent</w:t>
      </w:r>
      <w:r>
        <w:rPr/>
        <w:t xml:space="preserve">” has the meaning specified in </w:t>
      </w:r>
      <w:r>
        <w:rPr>
          <w:strike/>
          <w:u w:val="single"/>
        </w:rPr>
        <w:t>Section8.9(b)</w:t>
      </w:r>
      <w:r>
        <w:rPr>
          <w:u w:val="single"/>
        </w:rPr>
        <w:t xml:space="preserve"> 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5.4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6.1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pPr>
      <w:r>
        <w:rPr/>
        <w:t>“</w:t>
      </w:r>
      <w:r>
        <w:rPr>
          <w:u w:val="single"/>
        </w:rPr>
        <w:t>Transferred Employees</w:t>
      </w:r>
      <w:r>
        <w:rPr/>
        <w:t xml:space="preserve">” shall mean those individuals listed on </w:t>
      </w:r>
      <w:r>
        <w:rPr>
          <w:strike/>
          <w:u w:val="single"/>
        </w:rPr>
        <w:t>Schedule1.1(d)</w:t>
      </w:r>
      <w:r>
        <w:rPr>
          <w:u w:val="single"/>
        </w:rPr>
        <w:t xml:space="preserve"> Schedule 1.1(e)</w:t>
      </w:r>
      <w:r>
        <w:rPr/>
        <w:t xml:space="preserve"> hereto, formerly employees of Seller.</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iCs/>
          <w:u w:val="single"/>
        </w:rPr>
        <w:t>[Insert provisions addressing portion of Purchase Price to be included in a promissory note.]</w:t>
      </w:r>
      <w:r>
        <w:rPr>
          <w:i/>
          <w:iCs/>
        </w:rPr>
        <w:t xml:space="preserve">  </w:t>
      </w:r>
      <w:r>
        <w:rPr/>
        <w:t>The “</w:t>
      </w:r>
      <w:r>
        <w:rPr>
          <w:u w:val="single"/>
        </w:rPr>
        <w:t>Adjusted Purchase Price</w:t>
      </w:r>
      <w:r>
        <w:rPr/>
        <w:t>” shall be the Purchase Price adjusted as follows:</w:t>
      </w:r>
    </w:p>
    <w:p>
      <w:pPr>
        <w:pStyle w:val="Heading4"/>
        <w:widowControl/>
        <w:rPr/>
      </w:pPr>
      <w:r>
        <w:rPr/>
        <w:t>(i)</w:t>
        <w:tab/>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widowControl/>
        <w:rPr/>
      </w:pPr>
      <w:r>
        <w:rPr/>
        <w:t>(ii)</w:t>
        <w:tab/>
        <w:t xml:space="preserve">adjusted upward by the amount of all costs and expenses paid by Seller that are attributable to the Transferred Companies </w:t>
      </w:r>
      <w:r>
        <w:rPr>
          <w:u w:val="single"/>
        </w:rPr>
        <w:t>or the Assumed Obligations</w:t>
      </w:r>
      <w:r>
        <w:rPr/>
        <w:t xml:space="preserve"> and to periods of time after the Effective Date and that are incurred in the ordinary course of business consistent with past practices, including capital expenditures, employee expenses, and general and administrative expenses (excluding Enron Corp. internal allocations </w:t>
      </w:r>
      <w:r>
        <w:rPr>
          <w:strike/>
        </w:rPr>
        <w:t>)</w:t>
      </w:r>
      <w:r>
        <w:rPr/>
        <w:t xml:space="preserve"> </w:t>
      </w:r>
      <w:r>
        <w:rPr>
          <w:u w:val="single"/>
        </w:rPr>
        <w:t>and capital contributions made by EWR to Lost Creek from the Reserve Account)</w:t>
      </w:r>
      <w:r>
        <w:rPr/>
        <w:t>;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based upon the Estimated Adjusted Purchase Price.</w:t>
      </w:r>
    </w:p>
    <w:p>
      <w:pPr>
        <w:pStyle w:val="Heading2"/>
        <w:widowControl/>
        <w:rPr/>
      </w:pPr>
      <w:r>
        <w:rPr/>
        <w:t>2.5</w:t>
        <w:tab/>
      </w: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 xml:space="preserve">Section </w:t>
      </w:r>
      <w:r>
        <w:rPr>
          <w:strike/>
          <w:u w:val="single"/>
        </w:rPr>
        <w:t>8.9</w:t>
      </w:r>
      <w:r>
        <w:rPr>
          <w:u w:val="single"/>
        </w:rPr>
        <w:t xml:space="preserve">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 xml:space="preserve">Section </w:t>
      </w:r>
      <w:r>
        <w:rPr>
          <w:strike/>
          <w:u w:val="single"/>
        </w:rPr>
        <w:t>8.9</w:t>
      </w:r>
      <w:r>
        <w:rPr>
          <w:u w:val="single"/>
        </w:rPr>
        <w:t xml:space="preserve"> 9.9</w:t>
      </w:r>
      <w:r>
        <w:rPr/>
        <w:t>.</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w:t>
      </w:r>
      <w:r>
        <w:rPr>
          <w:strike/>
        </w:rPr>
        <w:t>of</w:t>
      </w:r>
      <w:r>
        <w:rPr/>
        <w:t xml:space="preserve"> </w:t>
      </w:r>
      <w:r>
        <w:rPr>
          <w:u w:val="single"/>
        </w:rPr>
        <w:t>and</w:t>
      </w:r>
      <w:r>
        <w:rPr/>
        <w:t xml:space="preserve"> this Agreement;</w:t>
      </w:r>
    </w:p>
    <w:p>
      <w:pPr>
        <w:pStyle w:val="Heading4"/>
        <w:widowControl/>
        <w:rPr/>
      </w:pPr>
      <w:r>
        <w:rPr/>
        <w:t>(ii)</w:t>
        <w:tab/>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(iii)</w:t>
        <w:tab/>
      </w:r>
      <w:r>
        <w:rPr>
          <w:u w:val="single"/>
        </w:rPr>
        <w:t>[</w:t>
      </w:r>
      <w:r>
        <w:rPr/>
        <w:t>The Management Agreement duly executed by the Management Company;</w:t>
      </w:r>
      <w:r>
        <w:rPr>
          <w:u w:val="single"/>
        </w:rPr>
        <w:t>]</w:t>
      </w:r>
    </w:p>
    <w:p>
      <w:pPr>
        <w:pStyle w:val="Heading4"/>
        <w:widowControl/>
        <w:rPr/>
      </w:pPr>
      <w:r>
        <w:rPr/>
        <w:t>(iv)</w:t>
        <w:tab/>
        <w:t>The EMS Gathering Agreement duly executed by Seller and EMS;</w:t>
      </w:r>
    </w:p>
    <w:p>
      <w:pPr>
        <w:pStyle w:val="Heading4"/>
        <w:widowControl/>
        <w:rPr/>
      </w:pPr>
      <w:r>
        <w:rPr/>
        <w:t>(v)</w:t>
        <w:tab/>
      </w:r>
      <w:r>
        <w:rPr>
          <w:strike/>
        </w:rPr>
        <w:t>All Employment Agreements</w:t>
      </w:r>
      <w:r>
        <w:rPr/>
        <w:t xml:space="preserve"> </w:t>
      </w:r>
      <w:r>
        <w:rPr>
          <w:u w:val="single"/>
        </w:rPr>
        <w:t>The NBP Gathering Agreement</w:t>
      </w:r>
      <w:r>
        <w:rPr/>
        <w:t xml:space="preserve"> duly executed by </w:t>
      </w:r>
      <w:r>
        <w:rPr>
          <w:strike/>
        </w:rPr>
        <w:t>the Management Company and certain Transferred Employees;</w:t>
      </w:r>
      <w:r>
        <w:rPr/>
        <w:t xml:space="preserve"> </w:t>
      </w:r>
      <w:r>
        <w:rPr>
          <w:u w:val="single"/>
        </w:rPr>
        <w:t>Seller;</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 duly executed Assignment and Assumption Agreement in the form attached hereto as </w:t>
      </w:r>
      <w:r>
        <w:rPr>
          <w:u w:val="single"/>
        </w:rPr>
        <w:t>Exhibit F</w:t>
      </w:r>
      <w:r>
        <w:rPr/>
        <w:t>;</w:t>
      </w:r>
    </w:p>
    <w:p>
      <w:pPr>
        <w:pStyle w:val="Heading4"/>
        <w:widowControl/>
        <w:rPr/>
      </w:pPr>
      <w:r>
        <w:rPr/>
        <w:t>(iii)</w:t>
        <w:tab/>
      </w:r>
      <w:r>
        <w:rPr>
          <w:u w:val="single"/>
        </w:rPr>
        <w:t>[</w:t>
      </w:r>
      <w:r>
        <w:rPr/>
        <w:t>The Management Agreement duly executed by Purchaser;</w:t>
      </w:r>
      <w:r>
        <w:rPr>
          <w:u w:val="single"/>
        </w:rPr>
        <w:t>]</w:t>
      </w:r>
    </w:p>
    <w:p>
      <w:pPr>
        <w:pStyle w:val="Heading4"/>
        <w:widowControl/>
        <w:rPr/>
      </w:pPr>
      <w:r>
        <w:rPr/>
        <w:t>(iv)</w:t>
        <w:tab/>
        <w:t xml:space="preserve">A Guaranty executed by </w:t>
      </w:r>
      <w:r>
        <w:rPr>
          <w:strike/>
        </w:rPr>
        <w:t>_____</w:t>
      </w:r>
      <w:r>
        <w:rPr>
          <w:u w:val="single"/>
        </w:rPr>
        <w:t>[Purchaser parent company]</w:t>
      </w:r>
      <w:r>
        <w:rPr/>
        <w:t xml:space="preserve"> in the form attached hereto as </w:t>
      </w:r>
      <w:r>
        <w:rPr>
          <w:u w:val="single"/>
        </w:rPr>
        <w:t>Exhibit H</w:t>
      </w:r>
      <w:r>
        <w:rPr/>
        <w:t>;</w:t>
      </w:r>
    </w:p>
    <w:p>
      <w:pPr>
        <w:pStyle w:val="Heading4"/>
        <w:widowControl/>
        <w:rPr/>
      </w:pPr>
      <w:r>
        <w:rPr/>
        <w:t>(v)</w:t>
        <w:tab/>
      </w:r>
      <w:r>
        <w:rPr>
          <w:u w:val="single"/>
        </w:rPr>
        <w:t>The NBP Gathering Agreement duly executed by Purchaser;</w:t>
      </w:r>
    </w:p>
    <w:p>
      <w:pPr>
        <w:pStyle w:val="Heading4"/>
        <w:widowControl/>
        <w:rPr/>
      </w:pPr>
      <w:r>
        <w:rPr>
          <w:u w:val="single"/>
        </w:rPr>
        <w:t>(vi)</w:t>
      </w:r>
      <w:r>
        <w:rPr/>
        <w:tab/>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strike/>
        </w:rPr>
        <w:t>(vi)</w:t>
      </w:r>
      <w:r>
        <w:rPr>
          <w:u w:val="single"/>
        </w:rPr>
        <w:t>(vii)</w:t>
      </w:r>
      <w:r>
        <w:rPr/>
        <w:tab/>
        <w:t>Such other certificates and documents as may be called for under this Agreement or as Seller shall reasonably request; and</w:t>
      </w:r>
    </w:p>
    <w:p>
      <w:pPr>
        <w:pStyle w:val="Heading4"/>
        <w:widowControl/>
        <w:rPr/>
      </w:pPr>
      <w:r>
        <w:rPr>
          <w:strike/>
        </w:rPr>
        <w:t>(vii)</w:t>
      </w:r>
      <w:r>
        <w:rPr>
          <w:u w:val="single"/>
        </w:rPr>
        <w:t>(viii)</w:t>
      </w:r>
      <w:r>
        <w:rPr/>
        <w:tab/>
        <w:t xml:space="preserve">Satisfactory proof, in the sole opinion of the Seller, of substitute credit support for </w:t>
      </w:r>
      <w:r>
        <w:rPr>
          <w:strike/>
        </w:rPr>
        <w:t>any credit support now provided by Seller or any of its Affiliates in respect of the Transferred Companies, including the Firm Gas Gathering Agreements and the NCO Agreements.</w:t>
      </w:r>
      <w:r>
        <w:rPr>
          <w:u w:val="single"/>
        </w:rPr>
        <w:t>, and the release of Seller and its Affiliates from liability under, the Credit Support Obligations.</w:t>
      </w:r>
    </w:p>
    <w:p>
      <w:pPr>
        <w:pStyle w:val="Heading2"/>
        <w:widowControl/>
        <w:rPr/>
      </w:pPr>
      <w:r>
        <w:rPr/>
        <w:t>2.7</w:t>
        <w:tab/>
      </w:r>
      <w:r>
        <w:rPr>
          <w:u w:val="single"/>
        </w:rPr>
        <w:t>Allocation of Purchase Price</w:t>
      </w:r>
      <w:r>
        <w:rPr/>
        <w:t>.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w:t>
      </w:r>
      <w:r>
        <w:rPr>
          <w:strike/>
        </w:rPr>
        <w:t>, if any</w:t>
      </w:r>
      <w:r>
        <w:rPr/>
        <w:t xml:space="preserve"> </w:t>
      </w:r>
      <w:r>
        <w:rPr>
          <w:u w:val="single"/>
        </w:rPr>
        <w:t>and as shown in 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xml:space="preserve">, </w:t>
      </w:r>
      <w:r>
        <w:rPr>
          <w:strike/>
        </w:rPr>
        <w:t>neither</w:t>
      </w:r>
      <w:r>
        <w:rPr/>
        <w:t xml:space="preserve"> the execution and delivery of this Agreement, </w:t>
      </w:r>
      <w:r>
        <w:rPr>
          <w:strike/>
        </w:rPr>
        <w:t>nor</w:t>
      </w:r>
      <w:r>
        <w:rPr/>
        <w:t xml:space="preserve"> </w:t>
      </w:r>
      <w:r>
        <w:rPr>
          <w:u w:val="single"/>
        </w:rPr>
        <w:t>and</w:t>
      </w:r>
      <w:r>
        <w:rPr/>
        <w:t xml:space="preserve"> the consummation of the transactions contemplated hereby </w:t>
      </w:r>
      <w:r>
        <w:rPr>
          <w:strike/>
        </w:rPr>
        <w:t>and in accordance with the terms hereof, will:</w:t>
      </w:r>
      <w:r>
        <w:rPr>
          <w:u w:val="single"/>
        </w:rPr>
        <w:t>, will not</w:t>
      </w:r>
      <w:r>
        <w:rPr/>
        <w:t xml:space="preserve"> (i) violate any statute, regulation, rule, injunction, judgment, order, decree, ruling, charge or other restriction of any Governmental Authority or court to which Seller or any Transferred Company is subject</w:t>
      </w:r>
      <w:r>
        <w:rPr>
          <w:strike/>
        </w:rPr>
        <w:t>;</w:t>
      </w:r>
      <w:r>
        <w:rPr>
          <w:u w:val="single"/>
        </w:rPr>
        <w:t>,</w:t>
      </w:r>
      <w:r>
        <w:rPr/>
        <w:t xml:space="preserve">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w:t>
      </w:r>
      <w:r>
        <w:rPr>
          <w:strike/>
        </w:rPr>
        <w:t>;</w:t>
      </w:r>
      <w:r>
        <w:rPr>
          <w:u w:val="single"/>
        </w:rPr>
        <w:t>,</w:t>
      </w:r>
      <w:r>
        <w:rPr/>
        <w:t xml:space="preserve"> or (iii) conflict with or violate any provision of the Operating Agreement or any other charter document of any Transferred Company</w:t>
      </w:r>
      <w:r>
        <w:rPr>
          <w:u w:val="single"/>
        </w:rPr>
        <w:t>, except, in each case, as would not have, individually or in the aggregate, a Material Adverse Effect on the Transferred Companies</w:t>
      </w:r>
      <w:r>
        <w:rPr/>
        <w:t>.</w:t>
      </w:r>
    </w:p>
    <w:p>
      <w:pPr>
        <w:pStyle w:val="Heading3"/>
        <w:widowControl/>
        <w:rPr/>
      </w:pPr>
      <w:r>
        <w:rPr/>
        <w:t>(c)</w:t>
        <w:tab/>
      </w: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w:t>
      </w:r>
      <w:r>
        <w:rPr>
          <w:u w:val="single"/>
        </w:rPr>
        <w:t>(i)</w:t>
      </w:r>
      <w:r>
        <w:rPr/>
        <w:t xml:space="preserve"> for filings to be made under the HSR Act (if any) </w:t>
      </w:r>
      <w:r>
        <w:rPr>
          <w:strike/>
        </w:rPr>
        <w:t>and</w:t>
      </w:r>
      <w:r>
        <w:rPr>
          <w:u w:val="single"/>
        </w:rPr>
        <w:t>, (ii)</w:t>
      </w:r>
      <w:r>
        <w:rPr/>
        <w:t xml:space="preserve"> as shown in </w:t>
      </w:r>
      <w:r>
        <w:rPr>
          <w:u w:val="single"/>
        </w:rPr>
        <w:t>Schedule 3.1(c), and (iii) where the failure to obtain such consent, approval, order, authorization, registration, filing or permit would not have, individually or in the aggregate, a Material Adverse Effect on the Transferred Companies</w:t>
      </w:r>
      <w:r>
        <w:rPr/>
        <w:t>.</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widowControl/>
        <w:rPr/>
      </w:pPr>
      <w:r>
        <w:rPr/>
        <w:t>(ii)</w:t>
        <w:tab/>
      </w:r>
      <w:r>
        <w:rPr>
          <w:u w:val="single"/>
        </w:rPr>
        <w:t>Except as shown in Schedule 3.1(d),</w:t>
      </w:r>
      <w:r>
        <w:rPr/>
        <w:t xml:space="preserve"> EWR holds, beneficially and of record, a 35% membership interest in </w:t>
      </w:r>
      <w:r>
        <w:rPr>
          <w:strike/>
        </w:rPr>
        <w:t>Fort Union</w:t>
      </w:r>
      <w:r>
        <w:rPr/>
        <w:t xml:space="preserve"> </w:t>
      </w:r>
      <w:r>
        <w:rPr>
          <w:u w:val="single"/>
        </w:rPr>
        <w:t>Lost Creek</w:t>
      </w:r>
      <w:r>
        <w:rPr/>
        <w:t xml:space="preserve">, and EPR holds, beneficially and of record, a 33.33% membership interest in </w:t>
      </w:r>
      <w:r>
        <w:rPr>
          <w:strike/>
        </w:rPr>
        <w:t>Lost Creek</w:t>
      </w:r>
      <w:r>
        <w:rPr/>
        <w:t xml:space="preserve"> </w:t>
      </w:r>
      <w:r>
        <w:rPr>
          <w:u w:val="single"/>
        </w:rPr>
        <w:t>Fort Union</w:t>
      </w:r>
      <w:r>
        <w:rPr/>
        <w:t xml:space="preserve">,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widowControl/>
        <w:rPr/>
      </w:pPr>
      <w:r>
        <w:rPr/>
        <w:t>(iii)</w:t>
        <w:tab/>
      </w:r>
      <w:r>
        <w:rPr>
          <w:u w:val="single"/>
        </w:rPr>
        <w:t>Except as shown in Schedule 3.1(d),</w:t>
      </w:r>
      <w:r>
        <w:rPr/>
        <w:t xml:space="preserve"> 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xml:space="preserve">.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t>
      </w:r>
      <w:r>
        <w:rPr>
          <w:u w:val="single"/>
        </w:rPr>
        <w:t>would not have</w:t>
      </w:r>
      <w:r>
        <w:rPr/>
        <w:t xml:space="preserve">, individually or in the aggregate, </w:t>
      </w:r>
      <w:r>
        <w:rPr>
          <w:strike/>
        </w:rPr>
        <w:t>would not have</w:t>
      </w:r>
      <w:r>
        <w:rPr/>
        <w:t xml:space="preserve"> a Material Adverse Effect on the Transferred Companies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w:t>
      </w:r>
      <w:r>
        <w:rPr>
          <w:u w:val="single"/>
        </w:rPr>
        <w:t>, in all material respects,</w:t>
      </w:r>
      <w:r>
        <w:rPr/>
        <w:t xml:space="preserve">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w:t>
      </w:r>
      <w:r>
        <w:rPr>
          <w:u w:val="single"/>
        </w:rPr>
        <w:t>material</w:t>
      </w:r>
      <w:r>
        <w:rPr/>
        <w:t xml:space="preserve"> respects the transactions of each Transferred Company.  Except as set forth on </w:t>
      </w:r>
      <w:r>
        <w:rPr>
          <w:u w:val="single"/>
        </w:rPr>
        <w:t>Schedule 3.1(i)</w:t>
      </w:r>
      <w:r>
        <w:rPr/>
        <w:t xml:space="preserve"> hereto, no Transferred Company has any </w:t>
      </w:r>
      <w:r>
        <w:rPr>
          <w:u w:val="single"/>
        </w:rPr>
        <w:t>material</w:t>
      </w:r>
      <w:r>
        <w:rPr/>
        <w:t xml:space="preserve">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w:t>
      </w:r>
      <w:r>
        <w:rPr>
          <w:u w:val="single"/>
        </w:rPr>
        <w:t>, that would have, individually or in the aggregate, a Material Adverse Effect on the Transferred Companies</w:t>
      </w:r>
      <w:r>
        <w:rPr/>
        <w:t>.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 xml:space="preserve">Expended or committed to expend capital in excess of </w:t>
      </w:r>
      <w:r>
        <w:rPr>
          <w:strike/>
        </w:rPr>
        <w:t>$100,000</w:t>
      </w:r>
      <w:r>
        <w:rPr/>
        <w:t xml:space="preserve"> </w:t>
      </w:r>
      <w:r>
        <w:rPr>
          <w:u w:val="single"/>
        </w:rPr>
        <w:t>$250,000</w:t>
      </w:r>
      <w:r>
        <w:rPr/>
        <w:t>;</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w:t>
      </w:r>
      <w:r>
        <w:rPr>
          <w:u w:val="single"/>
        </w:rPr>
        <w:t>on the Transferred Companies</w:t>
      </w:r>
      <w:r>
        <w:rPr/>
        <w:t xml:space="preserve">;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w:t>
      </w:r>
      <w:r>
        <w:rPr>
          <w:strike/>
        </w:rPr>
        <w:t xml:space="preserve"> Such listing provides reasonably complete details concerning such Existing EMS Gas Gathering Contracts and other Material Agreements, identifying among other things the parties to each such Existing EMS Gas Gathering Contract and each such Material Agreement.</w:t>
      </w:r>
    </w:p>
    <w:p>
      <w:pPr>
        <w:pStyle w:val="Heading4"/>
        <w:widowControl/>
        <w:rPr/>
      </w:pPr>
      <w:r>
        <w:rPr/>
        <w:t>(ii)</w:t>
        <w:tab/>
        <w:t xml:space="preserve">Except as set forth on </w:t>
      </w:r>
      <w:r>
        <w:rPr>
          <w:u w:val="single"/>
        </w:rPr>
        <w:t>Schedule 3.1(1)</w:t>
      </w:r>
      <w:r>
        <w:rPr/>
        <w:t xml:space="preserve">,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w:t>
      </w:r>
      <w:r>
        <w:rPr>
          <w:strike/>
        </w:rPr>
        <w:t>except for any violation or default that would not, individually or in the aggregate, have a Material Adverse Effect,</w:t>
      </w:r>
      <w:r>
        <w:rPr/>
        <w:t xml:space="preserve"> </w:t>
      </w:r>
      <w:r>
        <w:rPr>
          <w:u w:val="single"/>
        </w:rPr>
        <w:t xml:space="preserve">or </w:t>
      </w:r>
      <w:r>
        <w:rPr/>
        <w:t>(C) any other contract, agreement, lease or commitment, whether oral or written to which a Transferred Company is a party (“</w:t>
      </w:r>
      <w:r>
        <w:rPr>
          <w:u w:val="single"/>
        </w:rPr>
        <w:t>Other Contracts</w:t>
      </w:r>
      <w:r>
        <w:rPr/>
        <w:t xml:space="preserve">”), except for any </w:t>
      </w:r>
      <w:r>
        <w:rPr>
          <w:u w:val="single"/>
        </w:rPr>
        <w:t>such</w:t>
      </w:r>
      <w:r>
        <w:rPr/>
        <w:t xml:space="preserve"> violation or default that would not </w:t>
      </w:r>
      <w:r>
        <w:rPr>
          <w:u w:val="single"/>
        </w:rPr>
        <w:t>have</w:t>
      </w:r>
      <w:r>
        <w:rPr/>
        <w:t xml:space="preserve">, individually or in the aggregate, </w:t>
      </w:r>
      <w:r>
        <w:rPr>
          <w:strike/>
        </w:rPr>
        <w:t>have</w:t>
      </w:r>
      <w:r>
        <w:rPr/>
        <w:t xml:space="preserve"> a Material Adverse Effect on the Transferred Companies.</w:t>
      </w:r>
    </w:p>
    <w:p>
      <w:pPr>
        <w:pStyle w:val="Heading4"/>
        <w:widowControl/>
        <w:rPr/>
      </w:pPr>
      <w:r>
        <w:rPr/>
        <w:t>(iii)</w:t>
        <w:tab/>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w:t>
      </w:r>
      <w:r>
        <w:rPr>
          <w:u w:val="single"/>
        </w:rPr>
        <w:t>, individually or in the aggregate,</w:t>
      </w:r>
      <w:r>
        <w:rPr/>
        <w:t xml:space="preserv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w:t>
      </w:r>
      <w:r>
        <w:rPr>
          <w:u w:val="single"/>
        </w:rPr>
        <w:t>, individually or in the aggregate,</w:t>
      </w:r>
      <w:r>
        <w:rPr/>
        <w:t xml:space="preserv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w:t>
      </w:r>
      <w:r>
        <w:rPr>
          <w:u w:val="single"/>
        </w:rPr>
        <w:t>material</w:t>
      </w:r>
      <w:r>
        <w:rPr/>
        <w:t xml:space="preserve"> permits, licenses and Governmental Actions that each Transferred Company has heretofore obtained for the conduct of its business (collectively, herein the “</w:t>
      </w:r>
      <w:r>
        <w:rPr>
          <w:u w:val="single"/>
        </w:rPr>
        <w:t>Permits</w:t>
      </w:r>
      <w:r>
        <w:rPr/>
        <w:t xml:space="preserve">”). </w:t>
      </w:r>
      <w:r>
        <w:rPr>
          <w:strike/>
        </w:rPr>
        <w:t>Except as set forth in Schedule 3.1(m), the</w:t>
      </w:r>
      <w:r>
        <w:rPr/>
        <w:t xml:space="preserve"> </w:t>
      </w:r>
      <w:r>
        <w:rPr>
          <w:u w:val="single"/>
        </w:rPr>
        <w:t>The</w:t>
      </w:r>
      <w:r>
        <w:rPr/>
        <w:t xml:space="preserve"> Permits have been duly obtained and are in full force and effect</w:t>
      </w:r>
      <w:r>
        <w:rPr>
          <w:u w:val="single"/>
        </w:rPr>
        <w:t>, except where the failure to be in full force and effect would not have, individually or in the aggregate, a Material Adverse Effect on the Transferred Companies</w:t>
      </w:r>
      <w:r>
        <w:rPr/>
        <w:t xml:space="preserve">.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w:t>
      </w:r>
      <w:r>
        <w:rPr>
          <w:u w:val="single"/>
        </w:rPr>
        <w:t>, except where the failure to posses any such permit, license or Governmental Action would not have, individually or in the aggregate, a Material Adverse Effect on the Transferred Companies</w:t>
      </w:r>
      <w:r>
        <w:rPr/>
        <w:t>.</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w:t>
      </w:r>
      <w:r>
        <w:rPr>
          <w:u w:val="single"/>
        </w:rPr>
        <w:t>defects or imperfections in title that would not have, individually or in the aggregate, a Material Adverse Effect on the Transferred Companies and</w:t>
      </w:r>
      <w:r>
        <w:rPr/>
        <w:t xml:space="preserve">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w:t>
      </w:r>
      <w:r>
        <w:rPr>
          <w:u w:val="single"/>
        </w:rPr>
        <w:t>,</w:t>
      </w:r>
      <w:r>
        <w:rPr/>
        <w:t xml:space="preserve">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xml:space="preserve">, (i) no litigation, arbitration, investigation or other proceeding of any Governmental Authority or any third party is pending or, to the knowledge of Seller, threatened against any Transferred Company or Seller, or any of their respective assets </w:t>
      </w:r>
      <w:r>
        <w:rPr>
          <w:strike/>
        </w:rPr>
        <w:t>which, if adversely determined, will have or could reasonably be expected to have a Material Adverse Effect on that Transferred Company;</w:t>
      </w:r>
      <w:r>
        <w:rPr>
          <w:u w:val="single"/>
        </w:rPr>
        <w:t xml:space="preserve">, </w:t>
      </w:r>
      <w:r>
        <w:rPr/>
        <w:t>and (ii) to Seller’s knowledge, no litigation, arbitration, investigation or other proceeding is pending or threatened against either Gathering Company or their respective assets</w:t>
      </w:r>
      <w:r>
        <w:rPr>
          <w:u w:val="single"/>
        </w:rPr>
        <w:t>, which, in each case, if adversely determined, will have or could reasonably be expected to have, individually or in the aggregate, a Material Adverse Effect on the Transferred Companies</w:t>
      </w:r>
      <w:r>
        <w:rPr/>
        <w:t>.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 xml:space="preserve">Each Transferred Company is on the date of this Agreement and has been and will be on the Closing Date in compliance with Environmental, Laws </w:t>
      </w:r>
      <w:r>
        <w:rPr>
          <w:u w:val="single"/>
        </w:rPr>
        <w:t>in all material respects</w:t>
      </w:r>
      <w:r>
        <w:rPr/>
        <w:t xml:space="preserve">, and to the knowledge of Seller, each Gathering Company is and has been and will be on the Closing Date in compliance with all Environmental Laws </w:t>
      </w:r>
      <w:r>
        <w:rPr>
          <w:u w:val="single"/>
        </w:rPr>
        <w:t>in all material respects</w:t>
      </w:r>
      <w:r>
        <w:rPr/>
        <w:t>;</w:t>
      </w:r>
    </w:p>
    <w:p>
      <w:pPr>
        <w:pStyle w:val="Heading4"/>
        <w:widowControl/>
        <w:rPr/>
      </w:pPr>
      <w:r>
        <w:rPr/>
        <w:t>(ii)</w:t>
        <w:tab/>
        <w:t xml:space="preserve">Each Transferred Company, and, to Seller’s knowledge, each Gathering Company, has made all notices and obtained all </w:t>
      </w:r>
      <w:r>
        <w:rPr>
          <w:u w:val="single"/>
        </w:rPr>
        <w:t>material</w:t>
      </w:r>
      <w:r>
        <w:rPr/>
        <w:t xml:space="preserve">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widowControl/>
        <w:rPr/>
      </w:pPr>
      <w:r>
        <w:rPr/>
        <w:t>(v)</w:t>
        <w:tab/>
        <w:t xml:space="preserve">To the Seller’s knowledge, there have been no </w:t>
      </w:r>
      <w:r>
        <w:rPr>
          <w:u w:val="single"/>
        </w:rPr>
        <w:t>material</w:t>
      </w:r>
      <w:r>
        <w:rPr/>
        <w:t xml:space="preserve">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w:t>
      </w:r>
      <w:r>
        <w:rPr>
          <w:u w:val="single"/>
        </w:rPr>
        <w:t>, except that Purchaser shall pay all fees related to filings required under the HSR Act</w:t>
      </w:r>
      <w:r>
        <w:rPr/>
        <w: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r>
      <w:r>
        <w:rPr>
          <w:strike/>
          <w:u w:val="single"/>
        </w:rPr>
        <w:t>[</w:t>
      </w:r>
      <w:r>
        <w:rPr>
          <w:u w:val="single"/>
        </w:rPr>
        <w:t>Employee Matters</w:t>
      </w:r>
      <w:r>
        <w:rPr/>
        <w:t>.</w:t>
      </w:r>
    </w:p>
    <w:p>
      <w:pPr>
        <w:pStyle w:val="Heading3"/>
        <w:widowControl/>
        <w:rPr/>
      </w:pPr>
      <w:r>
        <w:rPr/>
        <w:t>(a)</w:t>
        <w:tab/>
      </w:r>
      <w:r>
        <w:rPr>
          <w:u w:val="single"/>
        </w:rPr>
        <w:t>[Management Agreement</w:t>
      </w:r>
      <w:r>
        <w:rPr/>
        <w:t>.  Seller shall cause the Management Company to enter into the Management Agreement with Purchaser at the Closing.</w:t>
      </w:r>
      <w:r>
        <w:rPr>
          <w:u w:val="single"/>
        </w:rPr>
        <w:t>]</w:t>
      </w:r>
    </w:p>
    <w:p>
      <w:pPr>
        <w:pStyle w:val="Heading3"/>
        <w:widowControl/>
        <w:rPr/>
      </w:pPr>
      <w:r>
        <w:rPr/>
        <w:t>(b)</w:t>
        <w:tab/>
      </w:r>
      <w:r>
        <w:rPr>
          <w:u w:val="single"/>
        </w:rPr>
        <w:t>Employment</w:t>
      </w:r>
      <w:r>
        <w:rPr/>
        <w:t xml:space="preserve">.  Seller shall cause the Management Company to make offers of employment to the employees of Seller listed in </w:t>
      </w:r>
      <w:r>
        <w:rPr>
          <w:u w:val="single"/>
        </w:rPr>
        <w:t xml:space="preserve">Schedule 4.4 </w:t>
      </w:r>
      <w:r>
        <w:rPr>
          <w:strike/>
          <w:u w:val="single"/>
        </w:rPr>
        <w:t>no later than 5:00 p.m. on the first business day after the date of this Agreement with such employees required to accept or reject such offers by 5:00 p.m. on the 4th business day after the date of this Agreement</w:t>
      </w:r>
      <w:r>
        <w:rPr>
          <w:u w:val="single"/>
        </w:rPr>
        <w:t>.</w:t>
      </w:r>
      <w:r>
        <w:rPr/>
        <w:t xml:space="preserve">  The offer of employment by the Management Company will be effective on the </w:t>
      </w:r>
      <w:r>
        <w:rPr>
          <w:u w:val="single"/>
        </w:rPr>
        <w:t>first day of the month following the</w:t>
      </w:r>
      <w:r>
        <w:rPr/>
        <w:t xml:space="preserve"> Closing Date, at no less than 100% of the employee’s current base salary on the Closing Date (including the incentive structure described in </w:t>
      </w:r>
      <w:r>
        <w:rPr>
          <w:u w:val="single"/>
        </w:rPr>
        <w:t xml:space="preserve">Section </w:t>
      </w:r>
      <w:r>
        <w:rPr>
          <w:strike/>
          <w:u w:val="single"/>
        </w:rPr>
        <w:t>4.4(e) below), with a minimum bonus for calendar year 2000 identified for each such Transferred Employee (such bonus to be paid and distributed by Seller under its typical bonus distribution procedures),</w:t>
      </w:r>
      <w:r>
        <w:rPr>
          <w:u w:val="single"/>
        </w:rPr>
        <w:t xml:space="preserve"> 4.4(d)</w:t>
      </w:r>
      <w:r>
        <w:rPr/>
        <w:t xml:space="preserve"> </w:t>
      </w:r>
      <w:r>
        <w:rPr>
          <w:u w:val="single"/>
        </w:rPr>
        <w:t xml:space="preserve">below), </w:t>
      </w:r>
      <w:r>
        <w:rPr/>
        <w:t>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r>
      <w:r>
        <w:rPr>
          <w:strike/>
        </w:rPr>
        <w:t xml:space="preserve"> Organization Chart. The initial organization chart for the Management Company is attached as Exhibit J. </w:t>
      </w:r>
    </w:p>
    <w:p>
      <w:pPr>
        <w:pStyle w:val="Heading3"/>
        <w:widowControl/>
        <w:rPr/>
      </w:pPr>
      <w:r>
        <w:rPr>
          <w:strike/>
        </w:rPr>
        <w:t>(e)</w:t>
      </w:r>
      <w:r>
        <w:rPr/>
        <w:tab/>
      </w:r>
      <w:r>
        <w:rPr>
          <w:u w:val="single"/>
        </w:rPr>
        <w:t>Incentive Structure</w:t>
      </w:r>
      <w:r>
        <w:rPr/>
        <w:t xml:space="preserve">.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 </w:t>
      </w:r>
      <w:r>
        <w:rPr>
          <w:strike/>
        </w:rPr>
        <w:t xml:space="preserve">] </w:t>
      </w:r>
    </w:p>
    <w:p>
      <w:pPr>
        <w:pStyle w:val="Heading3"/>
        <w:widowControl/>
        <w:rPr>
          <w:strike/>
        </w:rPr>
      </w:pPr>
      <w:r>
        <w:rPr>
          <w:strike/>
        </w:rPr>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Contract;</w:t>
      </w:r>
    </w:p>
    <w:p>
      <w:pPr>
        <w:pStyle w:val="Heading4"/>
        <w:widowControl/>
        <w:tabs>
          <w:tab w:val="clear" w:pos="720"/>
          <w:tab w:val="left" w:pos="2880" w:leader="none"/>
        </w:tabs>
        <w:rPr/>
      </w:pPr>
      <w:r>
        <w:rPr/>
        <w:t>(iii)</w:t>
        <w:tab/>
        <w:t>each Transferred Company shall not:</w:t>
      </w:r>
    </w:p>
    <w:p>
      <w:pPr>
        <w:pStyle w:val="Heading5"/>
        <w:widowControl/>
        <w:rPr/>
      </w:pPr>
      <w:r>
        <w:rPr/>
        <w:t>(a)</w:t>
        <w:tab/>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held by such Transferred Company;</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and (b) the sale or disposition of any item of personal property or equipment having a value of less than $100,000;</w:t>
      </w:r>
      <w:r>
        <w:rPr>
          <w:u w:val="single"/>
        </w:rPr>
        <w:t xml:space="preserve">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r>
        <w:rPr>
          <w:u w:val="single"/>
        </w:rPr>
        <w:t>.</w:t>
      </w:r>
      <w:r>
        <w:rPr>
          <w:strike/>
        </w:rPr>
        <w:t>; and</w:t>
      </w:r>
    </w:p>
    <w:p>
      <w:pPr>
        <w:pStyle w:val="Heading4"/>
        <w:widowControl/>
        <w:tabs>
          <w:tab w:val="clear" w:pos="720"/>
          <w:tab w:val="left" w:pos="2880" w:leader="none"/>
        </w:tabs>
        <w:rPr>
          <w:strike/>
        </w:rPr>
      </w:pPr>
      <w:r>
        <w:rPr>
          <w:strike/>
        </w:rPr>
        <w:t>(vi) each Transferred Company shall not change its accounting policies or practices, except as required under GAAP.</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or (ii) required or evidenced by any Material Contracts.</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r>
        <w:rPr>
          <w:strike/>
        </w:rPr>
        <w:t xml:space="preserve"> and</w:t>
      </w:r>
    </w:p>
    <w:p>
      <w:pPr>
        <w:pStyle w:val="Heading4"/>
        <w:widowControl/>
        <w:tabs>
          <w:tab w:val="clear" w:pos="720"/>
          <w:tab w:val="left" w:pos="2880" w:leader="none"/>
        </w:tabs>
        <w:rPr>
          <w:strike/>
        </w:rPr>
      </w:pPr>
      <w:r>
        <w:rPr>
          <w:strike/>
        </w:rPr>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w:t>
      </w:r>
      <w:r>
        <w:rPr>
          <w:u w:val="single"/>
        </w:rPr>
        <w:t>; and</w:t>
      </w:r>
    </w:p>
    <w:p>
      <w:pPr>
        <w:pStyle w:val="Heading4"/>
        <w:widowControl/>
        <w:tabs>
          <w:tab w:val="left" w:pos="720" w:leader="none"/>
          <w:tab w:val="left" w:pos="2880" w:leader="none"/>
        </w:tabs>
        <w:rPr/>
      </w:pPr>
      <w:r>
        <w:rPr>
          <w:u w:val="single"/>
        </w:rPr>
        <w:t>(iii)</w:t>
      </w:r>
      <w:r>
        <w:rPr/>
        <w:tab/>
      </w:r>
      <w:r>
        <w:rPr>
          <w:u w:val="single"/>
        </w:rPr>
        <w:t>cause EPR to vote in favor of the expansion of the existing gathering system of Fort Union if a vote is taken by the members of Fort Union on such matter prior to the Closing Date.</w:t>
      </w:r>
      <w:r>
        <w:rPr>
          <w:strike/>
        </w:rPr>
        <w:t>.</w:t>
      </w:r>
    </w:p>
    <w:p>
      <w:pPr>
        <w:pStyle w:val="Heading4"/>
        <w:widowControl/>
        <w:tabs>
          <w:tab w:val="left" w:pos="720" w:leader="none"/>
          <w:tab w:val="left" w:pos="2880" w:leader="none"/>
        </w:tabs>
        <w:rPr>
          <w:strike/>
        </w:rPr>
      </w:pPr>
      <w:r>
        <w:rPr>
          <w:strike/>
        </w:rPr>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u w:val="single"/>
        </w:rPr>
        <w:t>4.9</w:t>
      </w:r>
      <w:r>
        <w:rPr/>
        <w:tab/>
      </w:r>
      <w:r>
        <w:rPr>
          <w:u w:val="single"/>
        </w:rPr>
        <w:t>Access.  Between the date hereof and the Closing Date, Seller shall permit Purchaser and its representatives, during regular business hours and upon reasonable advance notice, access to review the books and records of Seller regarding the Transferred Entities.  To the extent the books and records of Seller with respect to the Transferred Entities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u w:val="single"/>
        </w:rPr>
        <w:t>4.10</w:t>
      </w:r>
      <w:r>
        <w:rPr/>
        <w:tab/>
      </w:r>
      <w:r>
        <w:rPr>
          <w:u w:val="single"/>
        </w:rPr>
        <w:t>Credit Obligation Replacement.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u w:val="single"/>
        </w:rPr>
        <w:t>4.11</w:t>
      </w:r>
      <w:r>
        <w:rPr/>
        <w:tab/>
      </w:r>
      <w:r>
        <w:rPr>
          <w:u w:val="single"/>
        </w:rPr>
        <w:t>Name Change.  Within 30 days after the Closing Date, Purchaser shall, and shall cause the Transferred Entities to, cease using the trademarks, service marks, logos, and trade names of Seller, including causing each Transferred Entity to remove “Enron” and “ECT” from its name.</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Purchase Price to Seller by wire transfer in immediately available funds. </w:t>
      </w:r>
    </w:p>
    <w:p>
      <w:pPr>
        <w:pStyle w:val="Heading3"/>
        <w:widowControl/>
        <w:rPr/>
      </w:pPr>
      <w:r>
        <w:rPr>
          <w:u w:val="single"/>
        </w:rPr>
        <w:t>(f)</w:t>
      </w:r>
      <w:r>
        <w:rPr/>
        <w:tab/>
      </w:r>
      <w:r>
        <w:rPr>
          <w:u w:val="single"/>
        </w:rPr>
        <w:t>Credit Support.  Purchaser shall have provided satisfactory substitute credit support, and Seller and its Affiliates shall have been released from, the Credit Support Obligations.</w:t>
      </w:r>
    </w:p>
    <w:p>
      <w:pPr>
        <w:pStyle w:val="Heading3"/>
        <w:widowControl/>
        <w:rPr/>
      </w:pPr>
      <w:r>
        <w:rPr>
          <w:u w:val="single"/>
        </w:rPr>
        <w:t>(g)</w:t>
      </w:r>
      <w:r>
        <w:rPr/>
        <w:tab/>
      </w:r>
      <w:r>
        <w:rPr>
          <w:u w:val="single"/>
        </w:rPr>
        <w:t>Board of Directors Approval.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r>
      <w:r>
        <w:rPr>
          <w:strike/>
        </w:rPr>
        <w:t xml:space="preserve"> Expansion Vote. Seller shall have caused EPR to vote in favor of the expansion of the existing gathering system for Fort Union.</w:t>
      </w:r>
    </w:p>
    <w:p>
      <w:pPr>
        <w:pStyle w:val="Heading3"/>
        <w:widowControl/>
        <w:rPr/>
      </w:pPr>
      <w:r>
        <w:rPr>
          <w:strike/>
        </w:rPr>
        <w:t>(f)</w:t>
      </w:r>
      <w:r>
        <w:rPr/>
        <w:tab/>
      </w:r>
      <w:r>
        <w:rPr>
          <w:u w:val="single"/>
        </w:rPr>
        <w:t>Due Diligence Review</w:t>
      </w:r>
      <w:r>
        <w:rPr/>
        <w:t xml:space="preserve">.  Purchaser shall have completed its due diligence review of the Transferred Companies and the results of that review shall be reasonably satisfactory to Purchaser.  </w:t>
      </w:r>
    </w:p>
    <w:p>
      <w:pPr>
        <w:pStyle w:val="Heading3"/>
        <w:widowControl/>
        <w:rPr/>
      </w:pPr>
      <w:r>
        <w:rPr>
          <w:strike/>
        </w:rPr>
        <w:t>(g) Audit Committee. The audit committee of Northern Border Partners, L.P., the parent company of Purchaser, shall have delivered to Purchaser a fairness opinion to the effect that, as of the date of such opinion, the transactions contemplated by this Agreement are fair, from a financial point of view, to Purchaser.</w:t>
      </w:r>
      <w:r>
        <w:rPr>
          <w:u w:val="single"/>
        </w:rPr>
        <w:t>(f)</w:t>
      </w:r>
      <w:r>
        <w:rPr/>
        <w:tab/>
      </w:r>
      <w:r>
        <w:rPr>
          <w:u w:val="single"/>
        </w:rPr>
        <w:t>Audit Committee.  Purchaser shall have received the Audit Committee Approval.</w:t>
      </w:r>
    </w:p>
    <w:p>
      <w:pPr>
        <w:pStyle w:val="Heading3"/>
        <w:widowControl/>
        <w:rPr/>
      </w:pPr>
      <w:r>
        <w:rPr>
          <w:strike/>
        </w:rPr>
        <w:t>(h)</w:t>
      </w:r>
      <w:r>
        <w:rPr>
          <w:u w:val="single"/>
        </w:rPr>
        <w:t>(g)</w:t>
      </w:r>
      <w:r>
        <w:rPr/>
        <w:tab/>
      </w:r>
      <w:r>
        <w:rPr>
          <w:u w:val="single"/>
        </w:rPr>
        <w:t>Tax Election</w:t>
      </w:r>
      <w:r>
        <w:rPr/>
        <w:t xml:space="preserve">.  Lost Creek and Fort Union shall have each made an election under Section 754 of the Internal Revenue Code. </w:t>
      </w:r>
    </w:p>
    <w:p>
      <w:pPr>
        <w:pStyle w:val="Heading3"/>
        <w:widowControl/>
        <w:rPr/>
      </w:pPr>
      <w:r>
        <w:rPr>
          <w:u w:val="single"/>
        </w:rPr>
        <w:t>(h)</w:t>
      </w:r>
      <w:r>
        <w:rPr/>
        <w:tab/>
      </w:r>
      <w:r>
        <w:rPr>
          <w:u w:val="single"/>
        </w:rPr>
        <w:t xml:space="preserve">Lender Consent.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r>
        <w:rPr>
          <w:strike/>
        </w:rPr>
        <w:t>[; provided, however, for purposes of this indemnity all of such representations and warranties shall be deemed to have been made “without materiality qualifications.”]</w:t>
      </w:r>
      <w:r>
        <w:rPr>
          <w:u w:val="single"/>
        </w:rPr>
        <w: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keepNext w:val="true"/>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keepNext w:val="true"/>
        <w:keepLines/>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Entity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Purchase Price.</w:t>
      </w:r>
    </w:p>
    <w:p>
      <w:pPr>
        <w:pStyle w:val="Heading3"/>
        <w:widowControl/>
        <w:rPr/>
      </w:pPr>
      <w:r>
        <w:rPr/>
        <w:t>(d)</w:t>
        <w:tab/>
        <w:t xml:space="preserve">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w:t>
      </w:r>
      <w:r>
        <w:rPr>
          <w:strike/>
        </w:rPr>
        <w:t>the Indemnifying</w:t>
      </w:r>
      <w:r>
        <w:rPr/>
        <w:t xml:space="preserve"> </w:t>
      </w:r>
      <w:r>
        <w:rPr>
          <w:u w:val="single"/>
        </w:rPr>
        <w:t>either</w:t>
      </w:r>
      <w:r>
        <w:rPr/>
        <w:t xml:space="preserve"> Party </w:t>
      </w:r>
      <w:r>
        <w:rPr>
          <w:u w:val="single"/>
        </w:rPr>
        <w:t>ever</w:t>
      </w:r>
      <w:r>
        <w:rPr/>
        <w:t xml:space="preserve"> be liable to the </w:t>
      </w:r>
      <w:r>
        <w:rPr>
          <w:strike/>
        </w:rPr>
        <w:t>Indemnified</w:t>
      </w:r>
      <w:r>
        <w:rPr/>
        <w:t xml:space="preserve"> </w:t>
      </w:r>
      <w:r>
        <w:rPr>
          <w:u w:val="single"/>
        </w:rPr>
        <w:t>other</w:t>
      </w:r>
      <w:r>
        <w:rPr/>
        <w:t xml:space="preserve"> Party for any indirect, consequential, special, exemplary or punitive damages, except to the extent constituting part of a third party claim suffered or incurred by </w:t>
      </w:r>
      <w:r>
        <w:rPr>
          <w:strike/>
        </w:rPr>
        <w:t>the</w:t>
      </w:r>
      <w:r>
        <w:rPr/>
        <w:t xml:space="preserve"> </w:t>
      </w:r>
      <w:r>
        <w:rPr>
          <w:u w:val="single"/>
        </w:rPr>
        <w:t>an</w:t>
      </w:r>
      <w:r>
        <w:rPr/>
        <w:t xml:space="preserve">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 xml:space="preserve">ARTICLE </w:t>
      </w:r>
      <w:r>
        <w:rPr>
          <w:strike/>
        </w:rPr>
        <w:t>VIIPARTICIPATION RIGHTS</w:t>
      </w:r>
      <w:r>
        <w:rPr/>
        <w:t xml:space="preserve"> </w:t>
      </w:r>
      <w:r>
        <w:rPr>
          <w:u w:val="single"/>
        </w:rPr>
        <w:t>VII</w:t>
      </w:r>
      <w:r>
        <w:rPr/>
        <w:br/>
      </w:r>
      <w:r>
        <w:rPr>
          <w:u w:val="single"/>
        </w:rPr>
        <w:t>TERMINATION</w:t>
      </w:r>
    </w:p>
    <w:p>
      <w:pPr>
        <w:pStyle w:val="Heading2"/>
        <w:widowControl/>
        <w:rPr/>
      </w:pPr>
      <w:r>
        <w:rPr>
          <w:strike/>
        </w:rPr>
        <w:t>7.1</w:t>
      </w:r>
      <w:r>
        <w:rPr/>
        <w:t xml:space="preserve"> </w:t>
      </w:r>
      <w:r>
        <w:rPr>
          <w:u w:val="single"/>
        </w:rPr>
        <w:t>7.1</w:t>
      </w:r>
      <w:r>
        <w:rPr/>
        <w:tab/>
      </w:r>
      <w:r>
        <w:rPr>
          <w:u w:val="single"/>
        </w:rPr>
        <w:t>Termination.  This Agreement and the transactions contemplated hereby may be terminated at any time prior to the Closing:</w:t>
      </w:r>
    </w:p>
    <w:p>
      <w:pPr>
        <w:pStyle w:val="Heading3"/>
        <w:widowControl/>
        <w:rPr/>
      </w:pPr>
      <w:r>
        <w:rPr>
          <w:u w:val="single"/>
        </w:rPr>
        <w:t>(a)</w:t>
      </w:r>
      <w:r>
        <w:rPr/>
        <w:tab/>
      </w:r>
      <w:r>
        <w:rPr>
          <w:u w:val="single"/>
        </w:rPr>
        <w:t xml:space="preserve">by the mutual consent of Seller and Purchaser; or </w:t>
      </w:r>
    </w:p>
    <w:p>
      <w:pPr>
        <w:pStyle w:val="Heading3"/>
        <w:widowControl/>
        <w:rPr/>
      </w:pPr>
      <w:r>
        <w:rPr>
          <w:u w:val="single"/>
        </w:rPr>
        <w:t>(b)</w:t>
      </w:r>
      <w:r>
        <w:rPr/>
        <w:tab/>
      </w:r>
      <w:r>
        <w:rPr>
          <w:u w:val="single"/>
        </w:rPr>
        <w:t>by Seller if Purchaser has not given written notice to Seller on or before August 25, 2000 that it has received Audit Committee Approval; or</w:t>
      </w:r>
    </w:p>
    <w:p>
      <w:pPr>
        <w:pStyle w:val="Heading3"/>
        <w:widowControl/>
        <w:rPr/>
      </w:pPr>
      <w:r>
        <w:rPr>
          <w:u w:val="single"/>
        </w:rPr>
        <w:t>(c)</w:t>
      </w:r>
      <w:r>
        <w:rPr/>
        <w:tab/>
      </w:r>
      <w:r>
        <w:rPr>
          <w:u w:val="single"/>
        </w:rPr>
        <w:t>if the Closing has not occurred by the close of business on the Closing Date, then (a)</w:t>
      </w:r>
      <w:r>
        <w:rPr/>
        <w:t> </w:t>
      </w:r>
      <w:r>
        <w:rPr>
          <w:u w:val="single"/>
        </w:rPr>
        <w:t>by Seller if any condition specified in Section 5.1</w:t>
      </w:r>
      <w:r>
        <w:rPr/>
        <w:t xml:space="preserve"> </w:t>
      </w:r>
      <w:r>
        <w:rPr>
          <w:u w:val="single"/>
        </w:rPr>
        <w:t>has not been satisfied on or before such close of business, and shall not theretofore have been waived by Seller, or (b)</w:t>
      </w:r>
      <w:r>
        <w:rPr/>
        <w:t> </w:t>
      </w:r>
      <w:r>
        <w:rPr>
          <w:u w:val="single"/>
        </w:rPr>
        <w:t>by Purchaser if any condition specified in Section 5.2</w:t>
      </w:r>
      <w:r>
        <w:rPr/>
        <w:t xml:space="preserve"> </w:t>
      </w:r>
      <w:r>
        <w:rPr>
          <w:u w:val="single"/>
        </w:rPr>
        <w:t>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u w:val="single"/>
        </w:rPr>
        <w:t>7.2</w:t>
      </w:r>
      <w:r>
        <w:rPr/>
        <w:tab/>
      </w:r>
      <w:r>
        <w:rPr>
          <w:u w:val="single"/>
        </w:rPr>
        <w:t>Effect of Termination.  In the event of termination of this Agreement by Seller or Purchaser pursuant to Section 7.1,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u w:val="single"/>
        </w:rPr>
        <w:t>ARTICLE VIII</w:t>
      </w:r>
      <w:r>
        <w:rPr/>
        <w:br/>
      </w:r>
      <w:r>
        <w:rPr>
          <w:u w:val="single"/>
        </w:rPr>
        <w:t>PARTICIPATION RIGHTS</w:t>
      </w:r>
    </w:p>
    <w:p>
      <w:pPr>
        <w:pStyle w:val="Heading2"/>
        <w:widowControl/>
        <w:rPr>
          <w:u w:val="single"/>
        </w:rPr>
      </w:pPr>
      <w:r>
        <w:rPr>
          <w:u w:val="single"/>
        </w:rPr>
        <w:t>8.1</w:t>
      </w:r>
      <w:r>
        <w:rPr/>
        <w:tab/>
      </w:r>
      <w:r>
        <w:rPr>
          <w:u w:val="single"/>
        </w:rPr>
        <w:t>Purchaser’s Rights</w:t>
      </w:r>
      <w:r>
        <w:rPr/>
        <w:t xml:space="preserve">.  If Seller or any of its wholly-owned subsidiaries proposes to develop or acquire an interest in, directly or indirectly, a natural gas processing plant, natural gas gathering system, </w:t>
      </w:r>
      <w:r>
        <w:rPr>
          <w:u w:val="single"/>
        </w:rPr>
        <w:t>natural</w:t>
      </w:r>
      <w:r>
        <w:rPr/>
        <w:t xml:space="preserve"> gas transportation pipeline, or natural gas transmission system </w:t>
      </w:r>
      <w:r>
        <w:rPr>
          <w:u w:val="single"/>
        </w:rPr>
        <w:t>all or part of which is located</w:t>
      </w:r>
      <w:r>
        <w:rPr/>
        <w:t xml:space="preserve"> in the Specified Geographical Area, other than </w:t>
      </w:r>
      <w:r>
        <w:rPr>
          <w:strike/>
        </w:rPr>
        <w:t>(i)</w:t>
      </w:r>
      <w:r>
        <w:rPr>
          <w:u w:val="single"/>
        </w:rPr>
        <w:t>(i)</w:t>
      </w:r>
      <w:r>
        <w:rPr/>
        <w:t> </w:t>
      </w:r>
      <w:r>
        <w:rPr>
          <w:u w:val="single"/>
        </w:rPr>
        <w:t>natural gas</w:t>
      </w:r>
      <w:r>
        <w:rPr/>
        <w:t xml:space="preserve"> sales or distribution pipelines connecting to end users </w:t>
      </w:r>
      <w:r>
        <w:rPr>
          <w:u w:val="single"/>
        </w:rPr>
        <w:t>or local distribution companies</w:t>
      </w:r>
      <w:r>
        <w:rPr/>
        <w:t xml:space="preserve">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iCs/>
        </w:rPr>
        <w:t>[Insert participation terms].</w:t>
      </w:r>
      <w:r>
        <w:rPr/>
        <w:t xml:space="preserve">  Any Specified Project developed by </w:t>
      </w:r>
      <w:r>
        <w:rPr>
          <w:strike/>
        </w:rPr>
        <w:t>Seller’s producer finance department</w:t>
      </w:r>
      <w:r>
        <w:rPr/>
        <w:t xml:space="preserve"> </w:t>
      </w:r>
      <w:r>
        <w:rPr>
          <w:u w:val="single"/>
        </w:rPr>
        <w:t>Seller</w:t>
      </w:r>
      <w:r>
        <w:rPr/>
        <w:t xml:space="preserve"> as part of a transaction that is primarily a producer finance transaction shall not be considered a Specified Project.  </w:t>
      </w:r>
    </w:p>
    <w:p>
      <w:pPr>
        <w:pStyle w:val="Heading2"/>
        <w:widowControl/>
        <w:rPr>
          <w:b/>
          <w:bCs/>
          <w:u w:val="single"/>
        </w:rPr>
      </w:pPr>
      <w:r>
        <w:rPr>
          <w:strike/>
        </w:rPr>
        <w:t>7.2</w:t>
      </w:r>
      <w:r>
        <w:rPr/>
        <w:t xml:space="preserve"> </w:t>
      </w:r>
      <w:r>
        <w:rPr>
          <w:u w:val="single"/>
        </w:rPr>
        <w:t>8.2</w:t>
      </w:r>
      <w:r>
        <w:rPr/>
        <w:tab/>
      </w: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w:t>
      </w:r>
      <w:r>
        <w:rPr>
          <w:u w:val="single"/>
        </w:rPr>
        <w:t>and producer outsourcing opportunities</w:t>
      </w:r>
      <w:r>
        <w:rPr/>
        <w:t xml:space="preserve"> related to the Specified Project, including access to gathering or transportation services on a Specified Project.  </w:t>
      </w:r>
      <w:r>
        <w:rPr>
          <w:i/>
          <w:iCs/>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r>
        <w:rPr>
          <w:i/>
          <w:iCs/>
          <w:u w:val="single"/>
        </w:rPr>
        <w:t>[Insert additional terms describing preferential right].</w:t>
      </w:r>
      <w:r>
        <w:rPr/>
        <w:t xml:space="preserve">  </w:t>
      </w:r>
    </w:p>
    <w:p>
      <w:pPr>
        <w:pStyle w:val="Heading2"/>
        <w:widowControl/>
        <w:rPr/>
      </w:pPr>
      <w:r>
        <w:rPr>
          <w:u w:val="single"/>
        </w:rPr>
        <w:t>8.3</w:t>
      </w:r>
      <w:r>
        <w:rPr/>
        <w:t xml:space="preserve"> </w:t>
      </w:r>
      <w:r>
        <w:rPr>
          <w:strike/>
        </w:rPr>
        <w:t>7.3</w:t>
      </w:r>
      <w:r>
        <w:rPr/>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strike/>
        </w:rPr>
        <w:t>7.4</w:t>
      </w:r>
      <w:r>
        <w:rPr/>
        <w:t xml:space="preserve"> </w:t>
      </w:r>
      <w:r>
        <w:rPr>
          <w:u w:val="single"/>
        </w:rPr>
        <w:t>8.4</w:t>
      </w:r>
      <w:r>
        <w:rPr/>
        <w:tab/>
      </w:r>
      <w:r>
        <w:rPr>
          <w:u w:val="single"/>
        </w:rPr>
        <w:t>Certain Proprietary Rights</w:t>
      </w:r>
      <w:r>
        <w:rPr/>
        <w:t xml:space="preserve">. </w:t>
      </w:r>
      <w:r>
        <w:rPr>
          <w:strike/>
        </w:rPr>
        <w:t>The proprietary rights to gas gathering transactions</w:t>
      </w:r>
      <w:r>
        <w:rPr/>
        <w:t xml:space="preserve"> </w:t>
      </w:r>
      <w:r>
        <w:rPr>
          <w:u w:val="single"/>
        </w:rPr>
        <w:t>Except for the Conoco, Inc. Pioneer Pipeline Company project and the Petro Source CO</w:t>
      </w:r>
      <w:r>
        <w:rPr>
          <w:u w:val="single"/>
          <w:vertAlign w:val="subscript"/>
        </w:rPr>
        <w:t>2</w:t>
      </w:r>
      <w:r>
        <w:rPr/>
        <w:t xml:space="preserve"> </w:t>
      </w:r>
      <w:r>
        <w:rPr>
          <w:u w:val="single"/>
        </w:rPr>
        <w:t>project which are either pending or</w:t>
      </w:r>
      <w:r>
        <w:rPr/>
        <w:t xml:space="preserve"> under development by Seller </w:t>
      </w:r>
      <w:r>
        <w:rPr>
          <w:strike/>
        </w:rPr>
        <w:t>as of the Closing Date</w:t>
      </w:r>
      <w:r>
        <w:rPr/>
        <w:t xml:space="preserve"> </w:t>
      </w:r>
      <w:r>
        <w:rPr>
          <w:u w:val="single"/>
        </w:rPr>
        <w:t>or Seller and Purchaser, the proprietary rights to any Specified Project under development by Seller</w:t>
      </w:r>
      <w:r>
        <w:rPr/>
        <w:t xml:space="preserve"> in the Specified Geographical Area </w:t>
      </w:r>
      <w:r>
        <w:rPr>
          <w:strike/>
        </w:rPr>
        <w:t>shall</w:t>
      </w:r>
      <w:r>
        <w:rPr/>
        <w:t xml:space="preserve"> </w:t>
      </w:r>
      <w:r>
        <w:rPr>
          <w:u w:val="single"/>
        </w:rPr>
        <w:t>will</w:t>
      </w:r>
      <w:r>
        <w:rPr/>
        <w:t xml:space="preserve"> be assigned to Purchaser. </w:t>
      </w:r>
      <w:r>
        <w:rPr>
          <w:strike/>
        </w:rPr>
        <w:t xml:space="preserve">The proprietary rights to the projects listed and described in Schedule 7.4, even if being developed by </w:t>
      </w:r>
      <w:r>
        <w:rPr>
          <w:u w:val="single"/>
        </w:rPr>
        <w:t>All proprietary rights and information concerning any transactions outside the Specified Geographical Area which are under development by Seller or</w:t>
      </w:r>
      <w:r>
        <w:rPr/>
        <w:t xml:space="preserve"> the Transferred Employees</w:t>
      </w:r>
      <w:r>
        <w:rPr>
          <w:strike/>
        </w:rPr>
        <w:t>, shall remain property of the Seller.</w:t>
      </w:r>
    </w:p>
    <w:p>
      <w:pPr>
        <w:pStyle w:val="Heading2"/>
        <w:widowControl/>
        <w:rPr>
          <w:strike/>
        </w:rPr>
      </w:pPr>
      <w:r>
        <w:rPr>
          <w:strike/>
        </w:rPr>
        <w:t>ARTICLE VIIIMISCELLANEOUS</w:t>
      </w:r>
    </w:p>
    <w:p>
      <w:pPr>
        <w:pStyle w:val="Heading2"/>
        <w:widowControl/>
        <w:rPr/>
      </w:pPr>
      <w:r>
        <w:rPr>
          <w:strike/>
        </w:rPr>
        <w:t>8.1</w:t>
      </w:r>
      <w:r>
        <w:rPr/>
        <w:t xml:space="preserve"> </w:t>
      </w:r>
      <w:r>
        <w:rPr>
          <w:u w:val="single"/>
        </w:rPr>
        <w:t xml:space="preserve">shall remain with Seller. </w:t>
      </w:r>
    </w:p>
    <w:p>
      <w:pPr>
        <w:pStyle w:val="Heading2"/>
        <w:widowControl/>
        <w:rPr/>
      </w:pPr>
      <w:r>
        <w:rPr>
          <w:u w:val="single"/>
        </w:rPr>
        <w:t>8.5</w:t>
      </w:r>
      <w:r>
        <w:rPr/>
        <w:tab/>
      </w:r>
      <w:r>
        <w:rPr>
          <w:u w:val="single"/>
        </w:rPr>
        <w:t>No Limitation.  The provisions of this Article VIII</w:t>
      </w:r>
      <w:r>
        <w:rPr/>
        <w:t xml:space="preserve"> </w:t>
      </w:r>
      <w:r>
        <w:rPr>
          <w:u w:val="single"/>
        </w:rPr>
        <w:t>and the participation rights granted herein shall not limit or restrict the Seller and Purchaser from pursuing or developing transactions outside of the Specified Geographical Area.</w:t>
      </w:r>
    </w:p>
    <w:p>
      <w:pPr>
        <w:pStyle w:val="Heading1"/>
        <w:widowControl/>
        <w:ind w:hanging="0" w:start="0"/>
        <w:rPr/>
      </w:pPr>
      <w:r>
        <w:rPr>
          <w:u w:val="single"/>
        </w:rPr>
        <w:t>ARTICLE IX</w:t>
      </w:r>
      <w:r>
        <w:rPr/>
        <w:br/>
      </w:r>
      <w:r>
        <w:rPr>
          <w:u w:val="single"/>
        </w:rPr>
        <w:t>MISCELLANEOUS</w:t>
      </w:r>
    </w:p>
    <w:p>
      <w:pPr>
        <w:pStyle w:val="Heading2"/>
        <w:widowControl/>
        <w:rPr/>
      </w:pPr>
      <w:r>
        <w:rPr>
          <w:u w:val="single"/>
        </w:rPr>
        <w:t>9.1</w:t>
      </w:r>
      <w:r>
        <w:rPr/>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strike/>
        </w:rPr>
        <w:t>8.2</w:t>
      </w:r>
      <w:r>
        <w:rPr/>
        <w:t xml:space="preserve"> </w:t>
      </w:r>
      <w:r>
        <w:rPr>
          <w:u w:val="single"/>
        </w:rPr>
        <w:t>9.2</w:t>
      </w:r>
      <w:r>
        <w:rPr/>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strike/>
        </w:rPr>
        <w:t>8.3</w:t>
      </w:r>
      <w:r>
        <w:rPr/>
        <w:t xml:space="preserve"> </w:t>
      </w:r>
      <w:r>
        <w:rPr>
          <w:u w:val="single"/>
        </w:rPr>
        <w:t>9.3</w:t>
      </w:r>
      <w:r>
        <w:rPr/>
        <w:tab/>
      </w: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iCs/>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strike/>
        </w:rPr>
        <w:t>8.4</w:t>
      </w:r>
      <w:r>
        <w:rPr/>
        <w:t xml:space="preserve"> </w:t>
      </w:r>
      <w:r>
        <w:rPr>
          <w:u w:val="single"/>
        </w:rPr>
        <w:t>9.4</w:t>
      </w:r>
      <w:r>
        <w:rPr/>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strike/>
        </w:rPr>
        <w:t>8.5</w:t>
      </w:r>
      <w:r>
        <w:rPr/>
        <w:t xml:space="preserve"> </w:t>
      </w:r>
      <w:r>
        <w:rPr>
          <w:u w:val="single"/>
        </w:rPr>
        <w:t>9.5</w:t>
      </w:r>
      <w:r>
        <w:rPr/>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t>If to Seller:</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Northern Border Intermediate Limited Partnership</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strike/>
          <w:u w:val="single"/>
        </w:rPr>
        <w:t>Section8.5</w:t>
      </w:r>
      <w:r>
        <w:rPr>
          <w:u w:val="single"/>
        </w:rPr>
        <w:t xml:space="preserve"> Section 9.5</w:t>
      </w:r>
      <w:r>
        <w:rPr/>
        <w:t>.</w:t>
      </w:r>
    </w:p>
    <w:p>
      <w:pPr>
        <w:pStyle w:val="BodyText"/>
        <w:widowControl/>
        <w:rPr/>
      </w:pPr>
      <w:r>
        <w:rPr/>
      </w:r>
    </w:p>
    <w:p>
      <w:pPr>
        <w:pStyle w:val="Heading2"/>
        <w:widowControl/>
        <w:rPr/>
      </w:pPr>
      <w:r>
        <w:rPr>
          <w:strike/>
        </w:rPr>
        <w:t>8.6</w:t>
      </w:r>
      <w:r>
        <w:rPr/>
        <w:t xml:space="preserve"> </w:t>
      </w:r>
      <w:r>
        <w:rPr>
          <w:u w:val="single"/>
        </w:rPr>
        <w:t>9.6</w:t>
      </w:r>
      <w:r>
        <w:rPr/>
        <w:tab/>
      </w:r>
      <w:r>
        <w:rPr>
          <w:u w:val="single"/>
        </w:rPr>
        <w:t>Amendment</w:t>
      </w:r>
      <w:r>
        <w:rPr/>
        <w:t xml:space="preserve">.  This Agreement may be amended by the Parties at any time only by a written instrument signed on behalf of each of the Parties. </w:t>
      </w:r>
    </w:p>
    <w:p>
      <w:pPr>
        <w:pStyle w:val="Heading2"/>
        <w:widowControl/>
        <w:rPr/>
      </w:pPr>
      <w:r>
        <w:rPr>
          <w:strike/>
        </w:rPr>
        <w:t>8.7</w:t>
      </w:r>
      <w:r>
        <w:rPr/>
        <w:t xml:space="preserve"> </w:t>
      </w:r>
      <w:r>
        <w:rPr>
          <w:u w:val="single"/>
        </w:rPr>
        <w:t>9.7</w:t>
      </w:r>
      <w:r>
        <w:rPr/>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strike/>
        </w:rPr>
        <w:t>8.8</w:t>
      </w:r>
      <w:r>
        <w:rPr/>
        <w:t xml:space="preserve"> </w:t>
      </w:r>
      <w:r>
        <w:rPr>
          <w:u w:val="single"/>
        </w:rPr>
        <w:t>9.8</w:t>
      </w:r>
      <w:r>
        <w:rPr/>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strike/>
        </w:rPr>
        <w:t>8.9</w:t>
      </w:r>
      <w:r>
        <w:rPr/>
        <w:t xml:space="preserve"> </w:t>
      </w:r>
      <w:r>
        <w:rPr>
          <w:u w:val="single"/>
        </w:rPr>
        <w:t>9.9</w:t>
      </w:r>
      <w:r>
        <w:rPr/>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 xml:space="preserve">Section </w:t>
      </w:r>
      <w:r>
        <w:rPr>
          <w:strike/>
          <w:u w:val="single"/>
        </w:rPr>
        <w:t>8.9(b)</w:t>
      </w:r>
      <w:r>
        <w:rPr>
          <w:u w:val="single"/>
        </w:rPr>
        <w:t xml:space="preserve">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NORTHERN BORDER INTERMEDIATE</w:t>
      </w:r>
    </w:p>
    <w:p>
      <w:pPr>
        <w:pStyle w:val="Signature"/>
        <w:widowControl/>
        <w:rPr>
          <w:b/>
          <w:bCs/>
        </w:rPr>
      </w:pPr>
      <w:r>
        <w:rPr>
          <w:b/>
          <w:bCs/>
        </w:rPr>
        <w:t xml:space="preserve">    </w:t>
      </w:r>
      <w:r>
        <w:rPr>
          <w:b/>
          <w:bCs/>
        </w:rPr>
        <w:t>LIMITED PARTNERSHIP</w:t>
      </w:r>
    </w:p>
    <w:p>
      <w:pPr>
        <w:pStyle w:val="Signature"/>
        <w:widowControl/>
        <w:rPr>
          <w:b/>
          <w:bCs/>
        </w:rPr>
      </w:pPr>
      <w:r>
        <w:rPr>
          <w:b/>
          <w:bCs/>
        </w:rPr>
      </w:r>
    </w:p>
    <w:p>
      <w:pPr>
        <w:pStyle w:val="Signature"/>
        <w:widowControl/>
        <w:tabs>
          <w:tab w:val="left" w:pos="4860" w:leader="none"/>
          <w:tab w:val="right" w:pos="9360" w:leader="none"/>
        </w:tabs>
        <w:rPr/>
      </w:pPr>
      <w:r>
        <w:rPr/>
        <w:t>By:</w:t>
      </w:r>
      <w:r>
        <w:rPr>
          <w:u w:val="single"/>
        </w:rPr>
        <w:tab/>
        <w:tab/>
      </w:r>
    </w:p>
    <w:p>
      <w:pPr>
        <w:pStyle w:val="Signature"/>
        <w:widowControl/>
        <w:tabs>
          <w:tab w:val="left" w:pos="4860" w:leader="none"/>
          <w:tab w:val="right" w:pos="9360" w:leader="none"/>
        </w:tabs>
        <w:rPr/>
      </w:pPr>
      <w:r>
        <w:rPr/>
        <w:tab/>
        <w:t>its general partner</w:t>
      </w:r>
    </w:p>
    <w:p>
      <w:pPr>
        <w:pStyle w:val="Signature"/>
        <w:widowControl/>
        <w:rPr/>
      </w:pPr>
      <w:r>
        <w:rPr/>
      </w:r>
    </w:p>
    <w:p>
      <w:pPr>
        <w:pStyle w:val="Signature"/>
        <w:widowControl/>
        <w:rPr/>
      </w:pPr>
      <w:r>
        <w:rPr/>
      </w:r>
    </w:p>
    <w:p>
      <w:pPr>
        <w:pStyle w:val="Signature"/>
        <w:widowControl/>
        <w:rPr/>
      </w:pPr>
      <w:r>
        <w:rPr/>
      </w:r>
    </w:p>
    <w:p>
      <w:pPr>
        <w:pStyle w:val="Signature"/>
        <w:widowControl/>
        <w:tabs>
          <w:tab w:val="left" w:pos="4860" w:leader="none"/>
          <w:tab w:val="right" w:pos="9360" w:leader="none"/>
        </w:tabs>
        <w:rPr/>
      </w:pPr>
      <w:r>
        <w:rPr/>
        <w:tab/>
        <w:t>By:</w:t>
      </w:r>
      <w:r>
        <w:rPr>
          <w:u w:val="single"/>
        </w:rPr>
        <w:tab/>
      </w:r>
    </w:p>
    <w:p>
      <w:pPr>
        <w:pStyle w:val="Signature"/>
        <w:widowControl/>
        <w:tabs>
          <w:tab w:val="left" w:pos="4860" w:leader="none"/>
          <w:tab w:val="right" w:pos="9360" w:leader="none"/>
        </w:tabs>
        <w:rPr/>
      </w:pPr>
      <w:r>
        <w:rPr/>
        <w:tab/>
        <w:t>Name:</w:t>
      </w:r>
      <w:r>
        <w:rPr>
          <w:u w:val="single"/>
        </w:rPr>
        <w:tab/>
      </w:r>
    </w:p>
    <w:p>
      <w:pPr>
        <w:pStyle w:val="Signature"/>
        <w:widowControl/>
        <w:tabs>
          <w:tab w:val="left" w:pos="4860" w:leader="none"/>
          <w:tab w:val="right" w:pos="9360" w:leader="none"/>
        </w:tabs>
        <w:rPr/>
      </w:pPr>
      <w:r>
        <w:rPr/>
        <w:tab/>
        <w:t>Title:</w:t>
      </w:r>
      <w:r>
        <w:rPr>
          <w:u w:val="single"/>
        </w:rPr>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r>
      <w:r>
        <w:rPr>
          <w:strike/>
        </w:rPr>
        <w:t>Employment Agreements</w:t>
      </w:r>
      <w:r>
        <w:rPr/>
        <w:t xml:space="preserve"> </w:t>
      </w:r>
      <w:r>
        <w:rPr>
          <w:u w:val="single"/>
        </w:rPr>
        <w:t>NBP Gathering Agreement</w:t>
      </w:r>
    </w:p>
    <w:p>
      <w:pPr>
        <w:pStyle w:val="BodyText"/>
        <w:widowControl/>
        <w:rPr/>
      </w:pPr>
      <w:r>
        <w:rPr/>
        <w:t>Exhibit B</w:t>
        <w:tab/>
        <w:t>-</w:t>
        <w:tab/>
        <w:t>EMS Gathering System</w:t>
      </w:r>
    </w:p>
    <w:p>
      <w:pPr>
        <w:pStyle w:val="BodyText"/>
        <w:widowControl/>
        <w:rPr/>
      </w:pPr>
      <w:r>
        <w:rPr/>
        <w:t>Exhibit C</w:t>
        <w:tab/>
        <w:t>-</w:t>
        <w:tab/>
        <w:t>Management Agreement</w:t>
      </w:r>
    </w:p>
    <w:p>
      <w:pPr>
        <w:pStyle w:val="BodyText"/>
        <w:widowControl/>
        <w:rPr/>
      </w:pPr>
      <w:r>
        <w:rPr/>
        <w:t>Exhibit D</w:t>
        <w:tab/>
        <w:t>-</w:t>
        <w:tab/>
        <w:t>EMS Gathering Agreement</w:t>
      </w:r>
    </w:p>
    <w:p>
      <w:pPr>
        <w:pStyle w:val="BodyText"/>
        <w:widowControl/>
        <w:rPr/>
      </w:pPr>
      <w:r>
        <w:rPr/>
        <w:t>Exhibit E</w:t>
        <w:tab/>
        <w:t>-</w:t>
        <w:tab/>
        <w:t>Description of Specified Geographical Area</w:t>
      </w:r>
    </w:p>
    <w:p>
      <w:pPr>
        <w:pStyle w:val="BodyText"/>
        <w:widowControl/>
        <w:rPr/>
      </w:pPr>
      <w:r>
        <w:rPr/>
        <w:t>Exhibit F</w:t>
        <w:tab/>
        <w:t>-</w:t>
        <w:tab/>
        <w:t>Assignment and Assumption Agreement</w:t>
      </w:r>
    </w:p>
    <w:p>
      <w:pPr>
        <w:pStyle w:val="BodyText"/>
        <w:widowControl/>
        <w:rPr/>
      </w:pPr>
      <w:r>
        <w:rPr/>
        <w:t>Exhibit G</w:t>
        <w:tab/>
        <w:t>-</w:t>
        <w:tab/>
        <w:t>Seller’s Officer’s Certificate</w:t>
      </w:r>
    </w:p>
    <w:p>
      <w:pPr>
        <w:pStyle w:val="BodyText"/>
        <w:widowControl/>
        <w:rPr/>
      </w:pPr>
      <w:r>
        <w:rPr/>
        <w:t>Exhibit H</w:t>
        <w:tab/>
        <w:t>-</w:t>
        <w:tab/>
        <w:t>Guaranty</w:t>
      </w:r>
    </w:p>
    <w:p>
      <w:pPr>
        <w:pStyle w:val="BodyText"/>
        <w:widowControl/>
        <w:rPr/>
      </w:pPr>
      <w:r>
        <w:rPr/>
        <w:t>Exhibit I</w:t>
        <w:tab/>
        <w:t>-</w:t>
        <w:tab/>
        <w:t>Purchaser’s Officer’s Certificate</w:t>
      </w:r>
    </w:p>
    <w:p>
      <w:pPr>
        <w:pStyle w:val="BodyText"/>
        <w:widowControl/>
        <w:rPr>
          <w:strike/>
        </w:rPr>
      </w:pPr>
      <w:r>
        <w:rPr>
          <w:strike/>
        </w:rPr>
        <w:t>Exhibit J - Organization Chart</w:t>
      </w:r>
    </w:p>
    <w:p>
      <w:pPr>
        <w:pStyle w:val="BodyText"/>
        <w:widowControl/>
        <w:rPr/>
      </w:pPr>
      <w:r>
        <w:rPr/>
        <w:t>DISCLOSURE SCHEDULE:</w:t>
      </w:r>
    </w:p>
    <w:p>
      <w:pPr>
        <w:pStyle w:val="BodyText"/>
        <w:widowControl/>
        <w:rPr/>
      </w:pPr>
      <w:r>
        <w:rPr/>
      </w:r>
    </w:p>
    <w:p>
      <w:pPr>
        <w:pStyle w:val="BodyText"/>
        <w:widowControl/>
        <w:rPr/>
      </w:pPr>
      <w:r>
        <w:rPr/>
        <w:t>Schedule 1.1(a)</w:t>
        <w:tab/>
        <w:t>-</w:t>
        <w:tab/>
      </w:r>
      <w:r>
        <w:rPr>
          <w:u w:val="single"/>
        </w:rPr>
        <w:t>Credit Support Obligations</w:t>
      </w:r>
    </w:p>
    <w:p>
      <w:pPr>
        <w:pStyle w:val="BodyText"/>
        <w:widowControl/>
        <w:rPr/>
      </w:pPr>
      <w:r>
        <w:rPr>
          <w:u w:val="single"/>
        </w:rPr>
        <w:t>Schedule 1.1(b)</w:t>
      </w:r>
      <w:r>
        <w:rPr/>
        <w:tab/>
      </w:r>
      <w:r>
        <w:rPr>
          <w:u w:val="single"/>
        </w:rPr>
        <w:t>-</w:t>
      </w:r>
      <w:r>
        <w:rPr/>
        <w:tab/>
      </w:r>
      <w:r>
        <w:rPr>
          <w:u w:val="single"/>
        </w:rPr>
        <w:t>Existing</w:t>
      </w:r>
      <w:r>
        <w:rPr/>
        <w:t xml:space="preserve"> EMS Gathering Agreements</w:t>
      </w:r>
    </w:p>
    <w:p>
      <w:pPr>
        <w:pStyle w:val="BodyText"/>
        <w:widowControl/>
        <w:rPr/>
      </w:pPr>
      <w:r>
        <w:rPr/>
        <w:t xml:space="preserve">Schedule </w:t>
      </w:r>
      <w:r>
        <w:rPr>
          <w:strike/>
        </w:rPr>
        <w:t>1.1(b)</w:t>
      </w:r>
      <w:r>
        <w:rPr/>
        <w:t xml:space="preserve"> </w:t>
      </w:r>
      <w:r>
        <w:rPr>
          <w:u w:val="single"/>
        </w:rPr>
        <w:t>1.1(c)</w:t>
      </w:r>
      <w:r>
        <w:rPr/>
        <w:tab/>
        <w:t>-</w:t>
        <w:tab/>
        <w:t>Firm Gas Gathering Agreements</w:t>
      </w:r>
    </w:p>
    <w:p>
      <w:pPr>
        <w:pStyle w:val="BodyText"/>
        <w:widowControl/>
        <w:rPr/>
      </w:pPr>
      <w:r>
        <w:rPr/>
        <w:t xml:space="preserve">Schedule </w:t>
      </w:r>
      <w:r>
        <w:rPr>
          <w:strike/>
        </w:rPr>
        <w:t>1.1(c)</w:t>
      </w:r>
      <w:r>
        <w:rPr/>
        <w:t xml:space="preserve"> </w:t>
      </w:r>
      <w:r>
        <w:rPr>
          <w:u w:val="single"/>
        </w:rPr>
        <w:t>1.1(d)</w:t>
      </w:r>
      <w:r>
        <w:rPr/>
        <w:tab/>
        <w:t>-</w:t>
        <w:tab/>
        <w:t>NCO Agreements</w:t>
      </w:r>
    </w:p>
    <w:p>
      <w:pPr>
        <w:pStyle w:val="BodyText"/>
        <w:widowControl/>
        <w:rPr/>
      </w:pPr>
      <w:r>
        <w:rPr/>
        <w:t xml:space="preserve">Schedule </w:t>
      </w:r>
      <w:r>
        <w:rPr>
          <w:strike/>
        </w:rPr>
        <w:t>1.1(d)</w:t>
      </w:r>
      <w:r>
        <w:rPr/>
        <w:t xml:space="preserve"> </w:t>
      </w:r>
      <w:r>
        <w:rPr>
          <w:u w:val="single"/>
        </w:rPr>
        <w:t>1.1(e)</w:t>
      </w:r>
      <w:r>
        <w:rPr/>
        <w:tab/>
        <w:t>-</w:t>
        <w:tab/>
        <w:t>Transferred Employees</w:t>
      </w:r>
    </w:p>
    <w:p>
      <w:pPr>
        <w:pStyle w:val="BodyText"/>
        <w:widowControl/>
        <w:rPr/>
      </w:pPr>
      <w:r>
        <w:rPr>
          <w:u w:val="single"/>
        </w:rPr>
        <w:t>Schedule 3.1(a)</w:t>
      </w:r>
      <w:r>
        <w:rPr/>
        <w:tab/>
        <w:tab/>
      </w:r>
      <w:r>
        <w:rPr>
          <w:u w:val="single"/>
        </w:rPr>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r>
      <w:r>
        <w:rPr>
          <w:u w:val="single"/>
        </w:rPr>
        <w:t>-</w:t>
      </w:r>
      <w:r>
        <w:rPr/>
        <w:tab/>
      </w:r>
      <w:r>
        <w:rPr>
          <w:u w:val="single"/>
        </w:rPr>
        <w:t>Title to Membership Interests</w:t>
      </w:r>
    </w:p>
    <w:p>
      <w:pPr>
        <w:pStyle w:val="BodyText"/>
        <w:widowControl/>
        <w:rPr/>
      </w:pPr>
      <w:r>
        <w:rPr>
          <w:u w:val="single"/>
        </w:rPr>
        <w:t>Schedule 3.1(g)</w:t>
      </w:r>
      <w:r>
        <w:rPr/>
        <w:tab/>
        <w:t>-</w:t>
        <w:tab/>
        <w:t>Capital Account Balances</w:t>
      </w:r>
    </w:p>
    <w:p>
      <w:pPr>
        <w:pStyle w:val="BodyText"/>
        <w:widowControl/>
        <w:rPr/>
      </w:pPr>
      <w:r>
        <w:rPr/>
        <w:t xml:space="preserve">Schedule </w:t>
      </w:r>
      <w:r>
        <w:rPr>
          <w:strike/>
        </w:rPr>
        <w:t>3.1(e)</w:t>
      </w:r>
      <w:r>
        <w:rPr/>
        <w:t xml:space="preserve"> </w:t>
      </w:r>
      <w:r>
        <w:rPr>
          <w:u w:val="single"/>
        </w:rPr>
        <w:t>3.1(h)</w:t>
      </w:r>
      <w:r>
        <w:rPr/>
        <w:tab/>
        <w:t>-</w:t>
        <w:tab/>
        <w:t>Business Activities</w:t>
      </w:r>
    </w:p>
    <w:p>
      <w:pPr>
        <w:pStyle w:val="BodyText"/>
        <w:widowControl/>
        <w:rPr/>
      </w:pPr>
      <w:r>
        <w:rPr/>
        <w:t>Schedule 3.1(i)</w:t>
        <w:tab/>
        <w:t>-</w:t>
        <w:tab/>
        <w:t>Financial Statements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pPr>
      <w:r>
        <w:rPr/>
        <w:t>Schedule 4.4</w:t>
        <w:tab/>
        <w:tab/>
        <w:t>-</w:t>
        <w:tab/>
        <w:t>Seller’s Employees</w:t>
      </w:r>
    </w:p>
    <w:p>
      <w:pPr>
        <w:pStyle w:val="BodyText"/>
        <w:widowControl/>
        <w:rPr/>
      </w:pPr>
      <w:r>
        <w:rPr/>
        <w:t>Schedule 4.5</w:t>
        <w:tab/>
        <w:tab/>
        <w:t>-</w:t>
        <w:tab/>
        <w:t>Preclosing Matters</w:t>
      </w:r>
      <w:r>
        <w:br w:type="page"/>
      </w:r>
    </w:p>
    <w:p>
      <w:pPr>
        <w:pStyle w:val="Heading"/>
        <w:widowControl/>
        <w:rPr/>
      </w:pPr>
      <w:r>
        <w:rPr/>
        <w:t xml:space="preserve">Schedule </w:t>
      </w:r>
      <w:r>
        <w:rPr>
          <w:strike/>
        </w:rPr>
        <w:t>7.1 - Retained Transactions</w:t>
      </w:r>
      <w:r>
        <w:rPr/>
        <w:t xml:space="preserve"> </w:t>
      </w:r>
      <w:r>
        <w:rPr>
          <w:u w:val="single"/>
        </w:rPr>
        <w:t xml:space="preserve">1.1(a) </w:t>
      </w:r>
    </w:p>
    <w:p>
      <w:pPr>
        <w:pStyle w:val="Heading"/>
        <w:widowControl/>
        <w:rPr>
          <w:u w:val="single"/>
        </w:rPr>
      </w:pPr>
      <w:r>
        <w:rPr>
          <w:u w:val="single"/>
        </w:rPr>
        <w:t>CREDIT SUPPORT OBLIGATIONS</w:t>
      </w:r>
    </w:p>
    <w:p>
      <w:pPr>
        <w:pStyle w:val="Heading"/>
        <w:widowControl/>
        <w:rPr>
          <w:b w:val="false"/>
          <w:bCs w:val="false"/>
          <w:u w:val="single"/>
        </w:rPr>
      </w:pPr>
      <w:r>
        <w:rPr>
          <w:b w:val="false"/>
          <w:bCs w:val="false"/>
          <w:u w:val="single"/>
        </w:rPr>
      </w:r>
    </w:p>
    <w:p>
      <w:pPr>
        <w:pStyle w:val="ListNumber2"/>
        <w:widowControl/>
        <w:numPr>
          <w:ilvl w:val="0"/>
          <w:numId w:val="8"/>
        </w:numPr>
        <w:tabs>
          <w:tab w:val="clear" w:pos="720"/>
          <w:tab w:val="left" w:pos="0" w:leader="none"/>
        </w:tabs>
        <w:ind w:hanging="1080" w:start="1440"/>
        <w:jc w:val="both"/>
        <w:rPr>
          <w:u w:val="single"/>
        </w:rPr>
      </w:pPr>
      <w:r>
        <w:rPr>
          <w:u w:val="single"/>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including:</w:t>
      </w:r>
    </w:p>
    <w:p>
      <w:pPr>
        <w:pStyle w:val="BlockText"/>
        <w:widowControl/>
        <w:jc w:val="both"/>
        <w:rPr>
          <w:u w:val="single"/>
        </w:rPr>
      </w:pPr>
      <w:r>
        <w:rPr>
          <w:u w:val="single"/>
        </w:rPr>
      </w:r>
    </w:p>
    <w:p>
      <w:pPr>
        <w:pStyle w:val="BlockText"/>
        <w:widowControl/>
        <w:jc w:val="both"/>
        <w:rPr>
          <w:u w:val="single"/>
        </w:rPr>
      </w:pPr>
      <w:r>
        <w:rPr>
          <w:u w:val="single"/>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widowControl/>
        <w:jc w:val="both"/>
        <w:rPr>
          <w:u w:val="single"/>
        </w:rPr>
      </w:pPr>
      <w:r>
        <w:rPr>
          <w:u w:val="single"/>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u w:val="single"/>
        </w:rPr>
      </w:pPr>
      <w:r>
        <w:rPr>
          <w:u w:val="single"/>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widowControl/>
        <w:jc w:val="both"/>
        <w:rPr>
          <w:u w:val="single"/>
        </w:rPr>
      </w:pPr>
      <w:r>
        <w:rPr>
          <w:u w:val="single"/>
        </w:rPr>
      </w:r>
    </w:p>
    <w:p>
      <w:pPr>
        <w:pStyle w:val="BlockText"/>
        <w:widowControl/>
        <w:jc w:val="both"/>
        <w:rPr>
          <w:u w:val="single"/>
        </w:rPr>
      </w:pPr>
      <w:r>
        <w:rPr>
          <w:u w:val="single"/>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widowControl/>
        <w:jc w:val="both"/>
        <w:rPr>
          <w:u w:val="single"/>
        </w:rPr>
      </w:pPr>
      <w:r>
        <w:rPr>
          <w:u w:val="single"/>
        </w:rPr>
        <w:t>The Consent to Assignment, dated as of September [__], 2000,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u w:val="single"/>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jc w:val="end"/>
      <w:rPr/>
    </w:pPr>
    <w:r>
      <w:rPr>
        <w:sz w:val="16"/>
        <w:szCs w:val="16"/>
      </w:rPr>
      <w:t>562951-7</w:t>
      <w:tab/>
    </w:r>
    <w:r>
      <w:rPr>
        <w:i/>
        <w:iCs/>
        <w:sz w:val="20"/>
        <w:szCs w:val="20"/>
      </w:rPr>
      <w:t xml:space="preserve"> Purchase and Sale Agreement</w:t>
    </w:r>
  </w:p>
  <w:p>
    <w:pPr>
      <w:pStyle w:val="Footer"/>
      <w:widowControl/>
      <w:tabs>
        <w:tab w:val="clear" w:pos="4320"/>
        <w:tab w:val="clear" w:pos="8640"/>
        <w:tab w:val="right" w:pos="9360" w:leader="none"/>
      </w:tabs>
      <w:jc w:val="end"/>
      <w:rPr>
        <w:i/>
        <w:i/>
        <w:iCs/>
        <w:sz w:val="20"/>
        <w:szCs w:val="20"/>
      </w:rPr>
    </w:pPr>
    <w:r>
      <w:rPr>
        <w:i/>
        <w:iCs/>
        <w:sz w:val="20"/>
        <w:szCs w:val="20"/>
      </w:rPr>
      <w:tab/>
      <w:t>Draft of 8/18/00</w:t>
    </w:r>
  </w:p>
  <w:p>
    <w:pPr>
      <w:pStyle w:val="Footer"/>
      <w:widowControl/>
      <w:jc w:val="end"/>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40</w:t>
    </w:r>
    <w:r>
      <w:rPr>
        <w:rStyle w:val="PageNumber"/>
        <w:i/>
        <w:iCs/>
      </w:rPr>
      <w:fldChar w:fldCharType="end"/>
    </w:r>
    <w:r>
      <w:rPr>
        <w:sz w:val="16"/>
        <w:szCs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2000-08-21T10:37:00Z</dcterms:created>
  <dc:creator>CMS Energy</dc:creator>
  <dc:description/>
  <dc:language>en-CA</dc:language>
  <cp:lastModifiedBy>A&amp;K</cp:lastModifiedBy>
  <cp:lastPrinted>2000-08-20T14:33:00Z</cp:lastPrinted>
  <dcterms:modified xsi:type="dcterms:W3CDTF">2000-08-21T10:37:00Z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