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u w:val="single"/>
        </w:rPr>
        <w:t>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 xml:space="preserve">. </w:t>
      </w:r>
    </w:p>
    <w:p>
      <w:pPr>
        <w:pStyle w:val="BodyTextFirstIndent"/>
        <w:widowControl/>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widowControl/>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u w:val="single"/>
        </w:rPr>
      </w:pPr>
      <w:r>
        <w:rPr/>
        <w:t>“</w:t>
      </w:r>
      <w:r>
        <w:rPr>
          <w:u w:val="single"/>
        </w:rPr>
        <w:t>Bighorn</w:t>
      </w:r>
      <w:r>
        <w:rPr/>
        <w:t>” means Bighorn Gas Gathering, L.L.C., a Delaware limited liability company.</w:t>
      </w:r>
    </w:p>
    <w:p>
      <w:pPr>
        <w:pStyle w:val="BodyTextFirstIndent"/>
        <w:widowControl/>
        <w:rPr/>
      </w:pPr>
      <w:r>
        <w:rPr/>
        <w:t>“</w:t>
      </w:r>
      <w:r>
        <w:rPr>
          <w:u w:val="single"/>
        </w:rPr>
        <w:t>Cash Disbursements</w:t>
      </w:r>
      <w:r>
        <w:rPr/>
        <w:t>” means all cash payments by Seller that are attributable to the Transferred Companies</w:t>
      </w:r>
      <w:r>
        <w:rPr>
          <w:strike/>
        </w:rPr>
        <w:t>,</w:t>
      </w:r>
      <w:r>
        <w:rPr/>
        <w:t xml:space="preserve">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w:t>
      </w:r>
      <w:r>
        <w:rPr>
          <w:strike/>
        </w:rPr>
        <w:t>and</w:t>
      </w:r>
      <w:r>
        <w:rPr>
          <w:u w:val="single"/>
        </w:rPr>
        <w:t>,</w:t>
      </w:r>
      <w:r>
        <w:rPr/>
        <w:t xml:space="preserve"> capital contributions made by EWR to Lost Creek from the Reserve </w:t>
      </w:r>
      <w:r>
        <w:rPr>
          <w:strike/>
        </w:rPr>
        <w:t>Amount).</w:t>
      </w:r>
      <w:r>
        <w:rPr/>
        <w:t xml:space="preserve"> </w:t>
      </w:r>
      <w:r>
        <w:rPr>
          <w:u w:val="single"/>
        </w:rPr>
        <w:t>Account, and cash paid by Seller for activities related to the role of Lost Creek construction manager).</w:t>
      </w:r>
    </w:p>
    <w:p>
      <w:pPr>
        <w:pStyle w:val="BodyTextFirstIndent"/>
        <w:widowControl/>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w:t>
      </w:r>
      <w:r>
        <w:rPr>
          <w:u w:val="single"/>
        </w:rPr>
        <w:t xml:space="preserve"> and Quantum Energy, L.L.C.</w:t>
      </w:r>
      <w:r>
        <w:rPr/>
        <w:t>, but excluding any cash received by Seller from Lost Creek for activities related to the role of Lost Creek construction manager.</w:t>
      </w:r>
    </w:p>
    <w:p>
      <w:pPr>
        <w:pStyle w:val="BodyTextFirstIndent"/>
        <w:widowControl/>
        <w:rPr/>
      </w:pPr>
      <w:r>
        <w:rPr/>
        <w:t>“</w:t>
      </w:r>
      <w:r>
        <w:rPr>
          <w:u w:val="single"/>
        </w:rPr>
        <w:t>Claimant</w:t>
      </w:r>
      <w:r>
        <w:rPr/>
        <w:t xml:space="preserve">” has the meaning specified in </w:t>
      </w:r>
      <w:r>
        <w:rPr>
          <w:u w:val="single"/>
        </w:rPr>
        <w:t>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means September 15,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pPr>
      <w:r>
        <w:rPr/>
        <w:t>“</w:t>
      </w:r>
      <w:r>
        <w:rPr>
          <w:u w:val="single"/>
        </w:rPr>
        <w:t>Completed Systems</w:t>
      </w:r>
      <w:r>
        <w:rPr/>
        <w:t xml:space="preserve">” means the gathering system described in Part </w:t>
      </w:r>
      <w:r>
        <w:rPr>
          <w:strike/>
        </w:rPr>
        <w:t>6</w:t>
      </w:r>
      <w:r>
        <w:rPr/>
        <w:t xml:space="preserve"> </w:t>
      </w:r>
      <w:r>
        <w:rPr>
          <w:u w:val="single"/>
        </w:rPr>
        <w:t>4</w:t>
      </w:r>
      <w:r>
        <w:rPr/>
        <w:t xml:space="preserve"> of </w:t>
      </w:r>
      <w:r>
        <w:rPr>
          <w:u w:val="single"/>
        </w:rPr>
        <w:t>Schedule 3.1(n)</w:t>
      </w:r>
      <w:r>
        <w:rPr/>
        <w:t>.</w:t>
      </w:r>
    </w:p>
    <w:p>
      <w:pPr>
        <w:pStyle w:val="BodyTextFirstIndent"/>
        <w:widowControl/>
        <w:rPr/>
      </w:pPr>
      <w:r>
        <w:rPr/>
        <w:t>“</w:t>
      </w:r>
      <w:r>
        <w:rPr>
          <w:u w:val="single"/>
        </w:rPr>
        <w:t>Covered Systems</w:t>
      </w:r>
      <w:r>
        <w:rPr/>
        <w:t xml:space="preserve">” means all computer software, computer hardware, firmware, telecommunications and other information technology systems, and equipment containing microchips, including any third-party manufactured hardware, software or </w:t>
      </w:r>
      <w:r>
        <w:rPr>
          <w:strike/>
        </w:rPr>
        <w:t>devises</w:t>
      </w:r>
      <w:r>
        <w:rPr/>
        <w:t xml:space="preserve"> </w:t>
      </w:r>
      <w:r>
        <w:rPr>
          <w:u w:val="single"/>
        </w:rPr>
        <w:t>devices</w:t>
      </w:r>
      <w:r>
        <w:rPr/>
        <w:t>,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widowControl/>
        <w:rPr/>
      </w:pPr>
      <w:r>
        <w:rPr/>
        <w:t>“</w:t>
      </w:r>
      <w:r>
        <w:rPr>
          <w:u w:val="single"/>
        </w:rPr>
        <w:t>Disclosure Schedule</w:t>
      </w:r>
      <w:r>
        <w:rPr/>
        <w:t xml:space="preserve">” means the Schedules included in the Disclosure Schedule attached hereto. </w:t>
      </w:r>
    </w:p>
    <w:p>
      <w:pPr>
        <w:pStyle w:val="BodyTextFirstIndent"/>
        <w:widowControl/>
        <w:rPr/>
      </w:pPr>
      <w:r>
        <w:rPr/>
        <w:t>“</w:t>
      </w:r>
      <w:r>
        <w:rPr>
          <w:u w:val="single"/>
        </w:rPr>
        <w:t>Dispute</w:t>
      </w:r>
      <w:r>
        <w:rPr/>
        <w:t xml:space="preserve">” has the meaning specified in </w:t>
      </w:r>
      <w:r>
        <w:rPr>
          <w:u w:val="single"/>
        </w:rPr>
        <w:t>Section 9.9(a)</w:t>
      </w:r>
      <w:r>
        <w:rPr/>
        <w:t>.</w:t>
      </w:r>
    </w:p>
    <w:p>
      <w:pPr>
        <w:pStyle w:val="BodyTextFirstIndent"/>
        <w:widowControl/>
        <w:rPr/>
      </w:pPr>
      <w:r>
        <w:rPr/>
        <w:t>“</w:t>
      </w:r>
      <w:r>
        <w:rPr>
          <w:u w:val="single"/>
        </w:rPr>
        <w:t>Effective Date</w:t>
      </w:r>
      <w:r>
        <w:rPr/>
        <w:t>” means 7:00 a.m., prevailing local time in the Central time zone, on July 1, 2000.</w:t>
      </w:r>
    </w:p>
    <w:p>
      <w:pPr>
        <w:pStyle w:val="BodyTextFirstIndent"/>
        <w:widowControl/>
        <w:rPr/>
      </w:pPr>
      <w:r>
        <w:rPr/>
        <w:t>“</w:t>
      </w:r>
      <w:r>
        <w:rPr>
          <w:u w:val="single"/>
        </w:rPr>
        <w:t>EMS</w:t>
      </w:r>
      <w:r>
        <w:rPr/>
        <w:t>” is defined in the Recitals to this Agreement.</w:t>
      </w:r>
    </w:p>
    <w:p>
      <w:pPr>
        <w:pStyle w:val="BodyTextFirstIndent"/>
        <w:widowControl/>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EWR Pledge Agreement</w:t>
      </w:r>
      <w:r>
        <w:rPr/>
        <w:t xml:space="preserve">” has the meaning specified in </w:t>
      </w:r>
      <w:r>
        <w:rPr>
          <w:u w:val="single"/>
        </w:rPr>
        <w:t>Schedule 3.1(d)</w:t>
      </w:r>
      <w:r>
        <w:rPr/>
        <w:t>.</w:t>
      </w:r>
    </w:p>
    <w:p>
      <w:pPr>
        <w:pStyle w:val="BodyTextFirstIndent"/>
        <w:widowControl/>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as of, and for the </w:t>
      </w:r>
      <w:r>
        <w:rPr>
          <w:strike/>
        </w:rPr>
        <w:t>six (6)</w:t>
      </w:r>
      <w:r>
        <w:rPr/>
        <w:t xml:space="preserve"> </w:t>
      </w:r>
      <w:r>
        <w:rPr>
          <w:u w:val="single"/>
        </w:rPr>
        <w:t>eight (8)</w:t>
      </w:r>
      <w:r>
        <w:rPr/>
        <w:t xml:space="preserve"> month period ending on, </w:t>
      </w:r>
      <w:r>
        <w:rPr>
          <w:strike/>
        </w:rPr>
        <w:t>June 30</w:t>
      </w:r>
      <w:r>
        <w:rPr/>
        <w:t xml:space="preserve"> </w:t>
      </w:r>
      <w:r>
        <w:rPr>
          <w:u w:val="single"/>
        </w:rPr>
        <w:t>August 31</w:t>
      </w:r>
      <w:r>
        <w:rPr/>
        <w:t xml:space="preserve">,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Credit Agreement</w:t>
      </w:r>
      <w:r>
        <w:rPr/>
        <w:t xml:space="preserve">” has the meaning specified in </w:t>
      </w:r>
      <w:r>
        <w:rPr>
          <w:u w:val="single"/>
        </w:rPr>
        <w:t>Schedule 1.1(a)</w:t>
      </w:r>
      <w:r>
        <w:rPr/>
        <w:t xml:space="preserve">.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xml:space="preserve">” (whether or not capitalized), with respect to a Person, means the actual knowledge of that Person and, where such Person is a business entity, means the actual knowledge of each of the officers, directors and managers of such entity.  </w:t>
      </w:r>
      <w:r>
        <w:rPr>
          <w:strike/>
        </w:rPr>
        <w:t xml:space="preserve"> The term “Knowledge” when used with respect to Seller and matters regarding Bighorn or the Gathering Companies does not include any obligation on the part of Seller to inquire of Bighorn or the Gathering Companies or their officers, directors, employees, or managers regarding such matters and Purchaser acknowledges that Seller has made no such inquiry.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Credit Agreement</w:t>
      </w:r>
      <w:r>
        <w:rPr/>
        <w:t xml:space="preserve">” has the meaning specified in </w:t>
      </w:r>
      <w:r>
        <w:rPr>
          <w:u w:val="single"/>
        </w:rPr>
        <w:t>Schedule 1.1(a)</w:t>
      </w:r>
      <w:r>
        <w:rPr/>
        <w:t xml:space="preserve">.  </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Company</w:t>
      </w:r>
      <w:r>
        <w:rPr/>
        <w:t>” means NBP Services Corporation.</w:t>
      </w:r>
    </w:p>
    <w:p>
      <w:pPr>
        <w:pStyle w:val="BodyTextFirstIndent"/>
        <w:widowControl/>
        <w:rPr/>
      </w:pPr>
      <w:r>
        <w:rPr/>
        <w:t>“</w:t>
      </w:r>
      <w:r>
        <w:rPr>
          <w:u w:val="single"/>
        </w:rPr>
        <w:t>Master Services Agreement</w:t>
      </w:r>
      <w:r>
        <w:rPr/>
        <w:t xml:space="preserve">” means the </w:t>
      </w:r>
      <w:r>
        <w:rPr>
          <w:strike/>
        </w:rPr>
        <w:t>gas gathering</w:t>
      </w:r>
      <w:r>
        <w:rPr/>
        <w:t xml:space="preserve"> agreement, together with the attached </w:t>
      </w:r>
      <w:r>
        <w:rPr>
          <w:strike/>
        </w:rPr>
        <w:t>Services</w:t>
      </w:r>
      <w:r>
        <w:rPr/>
        <w:t xml:space="preserve"> </w:t>
      </w:r>
      <w:r>
        <w:rPr>
          <w:u w:val="single"/>
        </w:rPr>
        <w:t>Service</w:t>
      </w:r>
      <w:r>
        <w:rPr/>
        <w:t xml:space="preserve"> Schedules 1 through 9, to be entered into between Seller and </w:t>
      </w:r>
      <w:r>
        <w:rPr>
          <w:strike/>
        </w:rPr>
        <w:t>EMS</w:t>
      </w:r>
      <w:r>
        <w:rPr/>
        <w:t xml:space="preserve"> </w:t>
      </w:r>
      <w:r>
        <w:rPr>
          <w:u w:val="single"/>
        </w:rPr>
        <w:t>Purchaser</w:t>
      </w:r>
      <w:r>
        <w:rPr/>
        <w:t xml:space="preserve"> at the Closing in the form attached hereto as </w:t>
      </w:r>
      <w:r>
        <w:rPr>
          <w:u w:val="single"/>
        </w:rPr>
        <w:t>Exhibit C</w:t>
      </w:r>
      <w:r>
        <w:rPr/>
        <w:t>.</w:t>
      </w:r>
    </w:p>
    <w:p>
      <w:pPr>
        <w:pStyle w:val="BodyTextFirstIndent"/>
        <w:widowControl/>
        <w:rPr/>
      </w:pPr>
      <w:r>
        <w:rPr/>
        <w:t>“</w:t>
      </w:r>
      <w:r>
        <w:rPr>
          <w:u w:val="single"/>
        </w:rPr>
        <w:t>Material</w:t>
      </w:r>
      <w:r>
        <w:rPr/>
        <w:t>”</w:t>
      </w:r>
      <w:r>
        <w:rPr>
          <w:b/>
          <w:bCs/>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widowControl/>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pPr>
      <w:r>
        <w:rPr/>
        <w:t>“</w:t>
      </w:r>
      <w:r>
        <w:rPr>
          <w:u w:val="single"/>
        </w:rPr>
        <w:t>NCO Agreements</w:t>
      </w:r>
      <w:r>
        <w:rPr/>
        <w:t xml:space="preserve">” means the agreements described in </w:t>
      </w:r>
      <w:r>
        <w:rPr>
          <w:u w:val="single"/>
        </w:rPr>
        <w:t>Schedule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 collectively.</w:t>
      </w:r>
    </w:p>
    <w:p>
      <w:pPr>
        <w:pStyle w:val="BodyTextFirstIndent"/>
        <w:widowControl/>
        <w:rPr/>
      </w:pPr>
      <w:r>
        <w:rPr/>
        <w:t>“</w:t>
      </w:r>
      <w:r>
        <w:rPr>
          <w:u w:val="single"/>
        </w:rPr>
        <w:t>Party</w:t>
      </w:r>
      <w:r>
        <w:rPr/>
        <w:t>” means Seller or Purchaser, individually.</w:t>
      </w:r>
    </w:p>
    <w:p>
      <w:pPr>
        <w:pStyle w:val="BodyTextFirstIndent"/>
        <w:widowControl/>
        <w:rPr/>
      </w:pPr>
      <w:r>
        <w:rPr/>
        <w:t>“</w:t>
      </w:r>
      <w:r>
        <w:rPr>
          <w:u w:val="single"/>
        </w:rPr>
        <w:t>Permits</w:t>
      </w:r>
      <w:r>
        <w:rPr/>
        <w:t xml:space="preserve">” shall have the meaning specified in </w:t>
      </w:r>
      <w:r>
        <w:rPr>
          <w:u w:val="single"/>
        </w:rPr>
        <w:t>Section 3.1(m)(ii)</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6.3</w:t>
      </w:r>
      <w:r>
        <w:rPr/>
        <w:t>.</w:t>
      </w:r>
    </w:p>
    <w:p>
      <w:pPr>
        <w:pStyle w:val="BodyTextFirstIndent"/>
        <w:widowControl/>
        <w:rPr/>
      </w:pPr>
      <w:r>
        <w:rPr/>
        <w:t>“</w:t>
      </w:r>
      <w:r>
        <w:rPr>
          <w:u w:val="single"/>
        </w:rPr>
        <w:t>Request</w:t>
      </w:r>
      <w:r>
        <w:rPr/>
        <w:t xml:space="preserve">” has the meaning specified in </w:t>
      </w:r>
      <w:r>
        <w:rPr>
          <w:u w:val="single"/>
        </w:rPr>
        <w:t>Section 9.9(b)</w:t>
      </w:r>
      <w:r>
        <w:rPr/>
        <w:t>.</w:t>
      </w:r>
    </w:p>
    <w:p>
      <w:pPr>
        <w:pStyle w:val="BodyTextFirstIndent"/>
        <w:widowControl/>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widowControl/>
        <w:rPr/>
      </w:pPr>
      <w:r>
        <w:rPr/>
        <w:t>“</w:t>
      </w:r>
      <w:r>
        <w:rPr>
          <w:u w:val="single"/>
        </w:rPr>
        <w:t>Respondent</w:t>
      </w:r>
      <w:r>
        <w:rPr/>
        <w:t xml:space="preserve">” has the meaning specified in </w:t>
      </w:r>
      <w:r>
        <w:rPr>
          <w:u w:val="single"/>
        </w:rPr>
        <w:t>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6.4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8.1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Term Conversion Date</w:t>
      </w:r>
      <w:r>
        <w:rPr/>
        <w:t>” has the meaning given that term in the Lost Creek Credit Agreement.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strike/>
        </w:rPr>
        <w:t>[Insert provisions addressing portion of Purchase Price to be included in a promissory note.]</w:t>
      </w:r>
      <w:r>
        <w:rPr/>
        <w:t xml:space="preserve"> The “</w:t>
      </w:r>
      <w:r>
        <w:rPr>
          <w:u w:val="single"/>
        </w:rPr>
        <w:t>Adjusted Purchase Price</w:t>
      </w:r>
      <w:r>
        <w:rPr/>
        <w:t>” shall be the Purchase Price adjusted as follows:</w:t>
      </w:r>
    </w:p>
    <w:p>
      <w:pPr>
        <w:pStyle w:val="Heading4"/>
        <w:widowControl/>
        <w:rPr/>
      </w:pPr>
      <w:r>
        <w:rPr/>
        <w:t>(i)</w:t>
        <w:tab/>
        <w:t>adjusted downward by the amount of Cash Receipts after the Effective Date and prior to the Closing Date;</w:t>
      </w:r>
    </w:p>
    <w:p>
      <w:pPr>
        <w:pStyle w:val="Heading4"/>
        <w:widowControl/>
        <w:rPr/>
      </w:pPr>
      <w:r>
        <w:rPr/>
        <w:t>(ii)</w:t>
        <w:tab/>
        <w:t xml:space="preserve">adjusted upward by </w:t>
      </w:r>
      <w:r>
        <w:rPr>
          <w:u w:val="single"/>
        </w:rPr>
        <w:t>(A)</w:t>
      </w:r>
      <w:r>
        <w:rPr/>
        <w:t xml:space="preserve"> the amount of Cash Disbursements after the Effective Date and </w:t>
      </w:r>
      <w:r>
        <w:rPr>
          <w:u w:val="single"/>
        </w:rPr>
        <w:t>prior to the Closing Date, (B) the amount of regular salaries and related employee benefits paid to the Transferred Employees from the Closing Date through September 30, 2000, and (C) Cash Disbursements after the Closing Date and before October 31, 2000 that relate to periods</w:t>
      </w:r>
      <w:r>
        <w:rPr/>
        <w:t xml:space="preserve"> prior to the Closing Date;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w:t>
      </w:r>
      <w:r>
        <w:rPr>
          <w:strike/>
        </w:rPr>
        <w:t>[</w:t>
      </w:r>
      <w:r>
        <w:rPr/>
        <w:t xml:space="preserve">Andrews &amp; Kurth L.L.P. </w:t>
      </w:r>
      <w:r>
        <w:rPr>
          <w:strike/>
        </w:rPr>
        <w:t>]</w:t>
      </w:r>
      <w:r>
        <w:rPr/>
        <w:t xml:space="preserve">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widowControl/>
        <w:rPr/>
      </w:pPr>
      <w:r>
        <w:rPr/>
        <w:t>2.5</w:t>
        <w:tab/>
      </w:r>
      <w:r>
        <w:rPr>
          <w:u w:val="single"/>
        </w:rPr>
        <w:t>Post-Closing Adjustment to the Purchase Price</w:t>
      </w:r>
      <w:r>
        <w:rPr/>
        <w:t xml:space="preserve">. </w:t>
      </w:r>
    </w:p>
    <w:p>
      <w:pPr>
        <w:pStyle w:val="Heading3"/>
        <w:widowControl/>
        <w:rPr/>
      </w:pPr>
      <w:r>
        <w:rPr/>
        <w:t>(a)</w:t>
        <w:tab/>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widowControl/>
        <w:rPr/>
      </w:pPr>
      <w:r>
        <w:rPr/>
        <w:t>(b)</w:t>
        <w:tab/>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E-1</w:t>
      </w:r>
      <w:r>
        <w:rPr/>
        <w:t xml:space="preserve">, by which </w:t>
      </w:r>
      <w:r>
        <w:rPr>
          <w:u w:val="single"/>
        </w:rPr>
        <w:t>(A)</w:t>
      </w:r>
      <w:r>
        <w:rPr/>
        <w:t xml:space="preserve"> the membership interests in EMS are assigned to Purchaser free and clear of all Liens except restrictions created by the Operating Agreement for EMS, </w:t>
      </w:r>
      <w:r>
        <w:rPr>
          <w:u w:val="single"/>
        </w:rPr>
        <w:t>(B)</w:t>
      </w:r>
      <w:r>
        <w:rPr/>
        <w:t xml:space="preserve"> the Firm Gas Gathering Agreements and the NCO Agreements are assigned to Purchaser, and </w:t>
      </w:r>
      <w:r>
        <w:rPr>
          <w:u w:val="single"/>
        </w:rPr>
        <w:t>(C)</w:t>
      </w:r>
      <w:r>
        <w:rPr/>
        <w:t xml:space="preserve"> Purchaser assumes the Assumed Obligations </w:t>
      </w:r>
      <w:r>
        <w:rPr>
          <w:u w:val="single"/>
        </w:rPr>
        <w:t>and Seller retains liability for gas imbalances under the Firm Gas Gathering Agreements that relate to periods prior to the Closing Date</w:t>
      </w:r>
      <w:r>
        <w:rPr/>
        <w:t>;</w:t>
      </w:r>
    </w:p>
    <w:p>
      <w:pPr>
        <w:pStyle w:val="Heading4"/>
        <w:widowControl/>
        <w:rPr/>
      </w:pPr>
      <w:r>
        <w:rPr/>
        <w:t>(ii)</w:t>
        <w:tab/>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p>
    <w:p>
      <w:pPr>
        <w:pStyle w:val="Heading4"/>
        <w:widowControl/>
        <w:rPr/>
      </w:pPr>
      <w:r>
        <w:rPr/>
        <w:t>(iii)</w:t>
        <w:tab/>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(iv)</w:t>
        <w:tab/>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widowControl/>
        <w:rPr/>
      </w:pPr>
      <w:r>
        <w:rPr/>
        <w:t>(v)</w:t>
        <w:tab/>
        <w:t>The Master Services Agreement duly executed by Seller;</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widowControl/>
        <w:rPr/>
      </w:pPr>
      <w:r>
        <w:rPr/>
        <w:t>(iii)</w:t>
        <w:tab/>
        <w:t>The Administrative Services Agreement duly executed by Purchaser and Management Company;</w:t>
      </w:r>
    </w:p>
    <w:p>
      <w:pPr>
        <w:pStyle w:val="Heading4"/>
        <w:widowControl/>
        <w:rPr/>
      </w:pPr>
      <w:r>
        <w:rPr/>
        <w:t>(iv)</w:t>
        <w:tab/>
        <w:t xml:space="preserve">A Guaranty executed by Northern Border Intermediate Limited Partnership in the form attached hereto as </w:t>
      </w:r>
      <w:r>
        <w:rPr>
          <w:u w:val="single"/>
        </w:rPr>
        <w:t>Exhibit G</w:t>
      </w:r>
      <w:r>
        <w:rPr/>
        <w:t>;</w:t>
      </w:r>
    </w:p>
    <w:p>
      <w:pPr>
        <w:pStyle w:val="Heading4"/>
        <w:widowControl/>
        <w:rPr/>
      </w:pPr>
      <w:r>
        <w:rPr/>
        <w:t>(v)</w:t>
        <w:tab/>
        <w:t xml:space="preserve">The Master Services </w:t>
      </w:r>
      <w:r>
        <w:rPr>
          <w:strike/>
        </w:rPr>
        <w:t>Gathering</w:t>
      </w:r>
      <w:r>
        <w:rPr/>
        <w:t xml:space="preserve"> Agreement duly executed by Purchaser;</w:t>
      </w:r>
    </w:p>
    <w:p>
      <w:pPr>
        <w:pStyle w:val="Heading4"/>
        <w:widowControl/>
        <w:rPr/>
      </w:pPr>
      <w:r>
        <w:rPr/>
        <w:t>(vi)</w:t>
        <w:tab/>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(vii)</w:t>
        <w:tab/>
        <w:t>Such other certificates and documents as may be called for under this Agreement or as Seller shall reasonably request; and</w:t>
      </w:r>
    </w:p>
    <w:p>
      <w:pPr>
        <w:pStyle w:val="Heading4"/>
        <w:widowControl/>
        <w:rPr/>
      </w:pPr>
      <w:r>
        <w:rPr/>
        <w:t>(viii)</w:t>
        <w:tab/>
        <w:t>Satisfactory proof of substitute credit support necessary or required to release Seller and its Affiliates from liability under the Credit Support Obligations.</w:t>
      </w:r>
    </w:p>
    <w:p>
      <w:pPr>
        <w:pStyle w:val="Heading2"/>
        <w:widowControl/>
        <w:rPr/>
      </w:pPr>
      <w:r>
        <w:rPr/>
        <w:t>2.7</w:t>
        <w:tab/>
      </w:r>
      <w:r>
        <w:rPr>
          <w:u w:val="single"/>
        </w:rPr>
        <w:t>Allocation of Purchase Price</w:t>
      </w:r>
      <w:r>
        <w:rPr/>
        <w:t xml:space="preserve">.  The Parties shall </w:t>
      </w:r>
      <w:r>
        <w:rPr>
          <w:strike/>
        </w:rPr>
        <w:t>use their reasonable efforts to agree in good faith</w:t>
      </w:r>
      <w:r>
        <w:rPr/>
        <w:t xml:space="preserve"> </w:t>
      </w:r>
      <w:r>
        <w:rPr>
          <w:u w:val="single"/>
        </w:rPr>
        <w:t xml:space="preserve">agree </w:t>
      </w:r>
      <w:r>
        <w:rPr/>
        <w:t xml:space="preserve">upon an allocation of the </w:t>
      </w:r>
      <w:r>
        <w:rPr>
          <w:u w:val="single"/>
        </w:rPr>
        <w:t>Adjusted</w:t>
      </w:r>
      <w:r>
        <w:rPr/>
        <w:t xml:space="preserve"> Purchase Price consistent with Section 1060 of the Code and the Treasury regulations thereunder by the </w:t>
      </w:r>
      <w:r>
        <w:rPr>
          <w:strike/>
        </w:rPr>
        <w:t>Closing</w:t>
      </w:r>
      <w:r>
        <w:rPr/>
        <w:t xml:space="preserve"> </w:t>
      </w:r>
      <w:r>
        <w:rPr>
          <w:u w:val="single"/>
        </w:rPr>
        <w:t>Final Settlement</w:t>
      </w:r>
      <w:r>
        <w:rPr/>
        <w:t xml:space="preserve"> Date.  If the Parties agree on a mutually satisfactory allocation by the </w:t>
      </w:r>
      <w:r>
        <w:rPr>
          <w:strike/>
        </w:rPr>
        <w:t>Closing</w:t>
      </w:r>
      <w:r>
        <w:rPr/>
        <w:t xml:space="preserve"> </w:t>
      </w:r>
      <w:r>
        <w:rPr>
          <w:u w:val="single"/>
        </w:rPr>
        <w:t>Final Settlement</w:t>
      </w:r>
      <w:r>
        <w:rPr/>
        <w:t xml:space="preserve"> Date, the Parties shall report this transaction for federal income tax purposes in accordance with the allocation so agreed upon.  </w:t>
      </w:r>
      <w:r>
        <w:rPr>
          <w:strike/>
        </w:rPr>
        <w:t>The Parties shall agree upon such allocation within ninety (90) days of the Closing Date.</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widowControl/>
        <w:rPr/>
      </w:pPr>
      <w:r>
        <w:rPr/>
        <w:t>(c)</w:t>
        <w:tab/>
      </w: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Except as shown in </w:t>
      </w:r>
      <w:r>
        <w:rPr>
          <w:u w:val="single"/>
        </w:rPr>
        <w:t>Schedule 3.1(d)</w:t>
      </w:r>
      <w:r>
        <w:rPr/>
        <w:t>,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w:t>
      </w:r>
      <w:r>
        <w:rPr>
          <w:strike/>
        </w:rPr>
        <w:t>,</w:t>
      </w:r>
      <w:r>
        <w:rPr/>
        <w:t xml:space="preserve"> </w:t>
      </w:r>
      <w:r>
        <w:rPr>
          <w:u w:val="single"/>
        </w:rPr>
        <w:t>or</w:t>
      </w:r>
      <w:r>
        <w:rPr/>
        <w:t xml:space="preserve"> the Lost Creek Operating Agreement).  </w:t>
      </w:r>
    </w:p>
    <w:p>
      <w:pPr>
        <w:pStyle w:val="Heading4"/>
        <w:widowControl/>
        <w:rPr/>
      </w:pPr>
      <w:r>
        <w:rPr/>
        <w:t>(iii)</w:t>
        <w:tab/>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w:t>
      </w:r>
      <w:r>
        <w:rPr>
          <w:strike/>
        </w:rPr>
        <w:t>, as amended)</w:t>
      </w:r>
      <w:r>
        <w:rPr>
          <w:u w:val="single"/>
        </w:rPr>
        <w:t>)</w:t>
      </w:r>
      <w:r>
        <w:rPr/>
        <w:t>.</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w:t>
      </w:r>
      <w:r>
        <w:rPr>
          <w:strike/>
        </w:rPr>
        <w:t>(if so required)</w:t>
      </w:r>
      <w:r>
        <w:rPr/>
        <w:t>,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w:t>
      </w:r>
      <w:r>
        <w:rPr>
          <w:strike/>
        </w:rPr>
        <w:t>the Effective Date</w:t>
      </w:r>
      <w:r>
        <w:rPr/>
        <w:t xml:space="preserve"> </w:t>
      </w:r>
      <w:r>
        <w:rPr>
          <w:u w:val="single"/>
        </w:rPr>
        <w:t>August</w:t>
      </w:r>
      <w:r>
        <w:rPr/>
        <w:t> </w:t>
      </w:r>
      <w:r>
        <w:rPr>
          <w:u w:val="single"/>
        </w:rPr>
        <w:t>31, 2000</w:t>
      </w:r>
      <w:r>
        <w:rPr/>
        <w:t xml:space="preserv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w:t>
      </w:r>
      <w:r>
        <w:rPr>
          <w:strike/>
        </w:rPr>
        <w:t>)</w:t>
      </w:r>
      <w:r>
        <w:rPr>
          <w:u w:val="single"/>
        </w:rPr>
        <w:t>, for each Transferred Company)</w:t>
      </w:r>
      <w:r>
        <w:rPr/>
        <w:t xml:space="preserv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xml:space="preserve">.  Except as </w:t>
      </w:r>
      <w:r>
        <w:rPr>
          <w:u w:val="single"/>
        </w:rPr>
        <w:t>set forth in 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widowControl/>
        <w:rPr/>
      </w:pPr>
      <w:r>
        <w:rPr/>
        <w:t>(ii)</w:t>
        <w:tab/>
      </w:r>
      <w:r>
        <w:rPr>
          <w:strike/>
        </w:rPr>
        <w:t>Except as set forth on Schedule 3.1(1), no</w:t>
      </w:r>
      <w:r>
        <w:rPr/>
        <w:t xml:space="preserve"> </w:t>
      </w:r>
      <w:r>
        <w:rPr>
          <w:u w:val="single"/>
        </w:rPr>
        <w:t>No</w:t>
      </w:r>
      <w:r>
        <w:rPr/>
        <w:t xml:space="preserve">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widowControl/>
        <w:rPr/>
      </w:pPr>
      <w:r>
        <w:rPr/>
        <w:t>(iii)</w:t>
        <w:tab/>
      </w:r>
      <w:r>
        <w:rPr>
          <w:strike/>
        </w:rPr>
        <w:t>Except as set forth on Schedule 3.1(l):</w:t>
      </w:r>
      <w:r>
        <w:rPr/>
        <w:t xml:space="preserve">(A)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(B) there is no material default or material breach under any </w:t>
      </w:r>
      <w:r>
        <w:rPr>
          <w:u w:val="single"/>
        </w:rPr>
        <w:t>of the Existing</w:t>
      </w:r>
      <w:r>
        <w:rPr/>
        <w:t xml:space="preserve"> EMS Gas Gathering </w:t>
      </w:r>
      <w:r>
        <w:rPr>
          <w:strike/>
        </w:rPr>
        <w:t>Contract</w:t>
      </w:r>
      <w:r>
        <w:rPr/>
        <w:t xml:space="preserve"> </w:t>
      </w:r>
      <w:r>
        <w:rPr>
          <w:u w:val="single"/>
        </w:rPr>
        <w:t>Contracts</w:t>
      </w:r>
      <w:r>
        <w:rPr/>
        <w:t xml:space="preserve">, Material Agreement or Other Contract by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or (C) to Seller’s knowledge, there are no material defaults or material breaches on the part of the other party to any </w:t>
      </w:r>
      <w:r>
        <w:rPr>
          <w:u w:val="single"/>
        </w:rPr>
        <w:t>of the Existing</w:t>
      </w:r>
      <w:r>
        <w:rPr/>
        <w:t xml:space="preserve"> EMS Gas Gathering </w:t>
      </w:r>
      <w:r>
        <w:rPr>
          <w:strike/>
        </w:rPr>
        <w:t>Contract</w:t>
      </w:r>
      <w:r>
        <w:rPr/>
        <w:t xml:space="preserve"> </w:t>
      </w:r>
      <w:r>
        <w:rPr>
          <w:u w:val="single"/>
        </w:rPr>
        <w:t>Contracts</w:t>
      </w:r>
      <w:r>
        <w:rPr/>
        <w:t>,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xml:space="preserve">,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widowControl/>
        <w:rPr/>
      </w:pPr>
      <w:r>
        <w:rPr/>
        <w:t>(iii)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widowControl/>
        <w:rPr/>
      </w:pPr>
      <w:r>
        <w:rPr/>
        <w:t>(ii)</w:t>
        <w:tab/>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widowControl/>
        <w:rPr/>
      </w:pPr>
      <w:r>
        <w:rPr/>
        <w:t>(v)</w:t>
        <w:tab/>
        <w:t>To the Seller’s knowledge, there have been no material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r>
      <w:r>
        <w:rPr>
          <w:u w:val="single"/>
        </w:rPr>
        <w:t>Employee Matters</w:t>
      </w:r>
      <w:r>
        <w:rPr/>
        <w:t>.</w:t>
      </w:r>
    </w:p>
    <w:p>
      <w:pPr>
        <w:pStyle w:val="Heading3"/>
        <w:widowControl/>
        <w:rPr/>
      </w:pPr>
      <w:r>
        <w:rPr/>
        <w:t>(a)</w:t>
        <w:tab/>
      </w:r>
      <w:r>
        <w:rPr>
          <w:u w:val="single"/>
        </w:rPr>
        <w:t>Administrative Services Agreement</w:t>
      </w:r>
      <w:r>
        <w:rPr/>
        <w:t>.  Purchaser shall cause the Management Company to enter into the Administrative Services Agreement with Purchaser at the Closing.</w:t>
      </w:r>
    </w:p>
    <w:p>
      <w:pPr>
        <w:pStyle w:val="Heading3"/>
        <w:widowControl/>
        <w:rPr/>
      </w:pPr>
      <w:r>
        <w:rPr/>
        <w:t>(b)</w:t>
        <w:tab/>
      </w:r>
      <w:r>
        <w:rPr>
          <w:u w:val="single"/>
        </w:rPr>
        <w:t>Employment</w:t>
      </w:r>
      <w:r>
        <w:rPr/>
        <w:t xml:space="preserve">.  Purchaser shall cause the Management Company to make offers of employment to certain employees of Seller </w:t>
      </w:r>
      <w:r>
        <w:rPr>
          <w:strike/>
        </w:rPr>
        <w:t>agreed to by the Parties</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Agreement;</w:t>
      </w:r>
    </w:p>
    <w:p>
      <w:pPr>
        <w:pStyle w:val="Heading4"/>
        <w:widowControl/>
        <w:tabs>
          <w:tab w:val="clear" w:pos="720"/>
          <w:tab w:val="left" w:pos="2880" w:leader="none"/>
        </w:tabs>
        <w:rPr/>
      </w:pPr>
      <w:r>
        <w:rPr/>
        <w:t>(iii)</w:t>
        <w:tab/>
        <w:t>each Transferred Company shall not:</w:t>
      </w:r>
    </w:p>
    <w:p>
      <w:pPr>
        <w:pStyle w:val="Heading5"/>
        <w:widowControl/>
        <w:rPr/>
      </w:pPr>
      <w:r>
        <w:rPr/>
        <w:t>(a)</w:t>
        <w:tab/>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widowControl/>
        <w:tabs>
          <w:tab w:val="left" w:pos="720" w:leader="none"/>
          <w:tab w:val="left" w:pos="2880" w:leader="none"/>
        </w:tabs>
        <w:rPr/>
      </w:pPr>
      <w:r>
        <w:rPr/>
        <w:t>(iii)</w:t>
        <w:tab/>
        <w:t>cause EPR to vote in favor of the expansion of the existing gathering system of Fort Union if a vote is taken by the members of Fort Union on such matter prior to the Closing Date.</w:t>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t>4.9</w:t>
        <w:tab/>
      </w: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t>4.10</w:t>
        <w:tab/>
      </w: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t>4.11</w:t>
        <w:tab/>
      </w: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widowControl/>
        <w:rPr/>
      </w:pPr>
      <w:r>
        <w:rPr/>
        <w:t>4.12</w:t>
        <w:tab/>
      </w: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widowControl/>
        <w:rPr/>
      </w:pPr>
      <w:r>
        <w:rPr/>
        <w:t>4.13</w:t>
        <w:tab/>
      </w: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2"/>
        <w:widowControl/>
        <w:rPr/>
      </w:pPr>
      <w:r>
        <w:rPr>
          <w:u w:val="single"/>
        </w:rPr>
        <w:t>4.14</w:t>
      </w:r>
      <w:r>
        <w:rPr/>
        <w:tab/>
      </w:r>
      <w:r>
        <w:rPr>
          <w:u w:val="single"/>
        </w:rPr>
        <w:t>Release of Assumed Obligations.  If Seller has not obtained releases of the obligations of Seller under the Firm Gas Gathering Agreements and the NCO Agreements on or before the Closing Date, Purchaser shall, when reasonably requested by Seller, execute and deliver all such instruments and documents, and take such actions, as may be required to obtain such releases of such obligations of Seller.</w:t>
      </w:r>
    </w:p>
    <w:p>
      <w:pPr>
        <w:pStyle w:val="Heading2"/>
        <w:widowControl/>
        <w:rPr/>
      </w:pPr>
      <w:r>
        <w:rPr>
          <w:u w:val="single"/>
        </w:rPr>
        <w:t>4.15</w:t>
      </w:r>
      <w:r>
        <w:rPr/>
        <w:tab/>
      </w:r>
      <w:r>
        <w:rPr>
          <w:u w:val="single"/>
        </w:rPr>
        <w:t>Gas Imbalances - Further Assistance.  From and after the Closing Date, Purchaser shall take all actions reasonably requested by Seller to permit Seller to resolve the gas imbalances existing under the Firm Gas Gathering Agreements as of the Closing Date.</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Estimated Adjusted Purchase Price to Seller by wire transfer in immediately available funds. </w:t>
      </w:r>
    </w:p>
    <w:p>
      <w:pPr>
        <w:pStyle w:val="Heading3"/>
        <w:widowControl/>
        <w:rPr/>
      </w:pPr>
      <w:r>
        <w:rPr/>
        <w:t>(f)</w:t>
        <w:tab/>
      </w:r>
      <w:r>
        <w:rPr>
          <w:u w:val="single"/>
        </w:rPr>
        <w:t>Credit Support</w:t>
      </w:r>
      <w:r>
        <w:rPr/>
        <w:t>.  Purchaser shall have provided satisfactory substitute credit support, and Seller and its Affiliates shall have been released from, the Credit Support Obligations.</w:t>
      </w:r>
    </w:p>
    <w:p>
      <w:pPr>
        <w:pStyle w:val="Heading3"/>
        <w:widowControl/>
        <w:rPr>
          <w:u w:val="single"/>
        </w:rPr>
      </w:pPr>
      <w:r>
        <w:rPr/>
        <w:t>(g)</w:t>
        <w:tab/>
      </w:r>
      <w:r>
        <w:rPr>
          <w:u w:val="single"/>
        </w:rPr>
        <w:t>Board of Directors Approval</w:t>
      </w:r>
      <w:r>
        <w:rPr/>
        <w:t>.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tab/>
      </w: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widowControl/>
        <w:rPr/>
      </w:pPr>
      <w:r>
        <w:rPr/>
        <w:t>(f)</w:t>
        <w:tab/>
      </w: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widowControl/>
        <w:rPr/>
      </w:pPr>
      <w:r>
        <w:rPr/>
        <w:t>(g)</w:t>
        <w:tab/>
      </w:r>
      <w:r>
        <w:rPr>
          <w:u w:val="single"/>
        </w:rPr>
        <w:t>Approvals</w:t>
      </w:r>
      <w:r>
        <w:rPr/>
        <w:t>.  Purchaser shall have received the Audit Committee Approval and the approval of the Partnership Policy Committee of Northern Border Partners, L.P.</w:t>
      </w:r>
    </w:p>
    <w:p>
      <w:pPr>
        <w:pStyle w:val="Heading3"/>
        <w:widowControl/>
        <w:rPr/>
      </w:pPr>
      <w:r>
        <w:rPr/>
        <w:t>(h)</w:t>
      </w:r>
      <w:r>
        <w:rPr>
          <w:strike/>
        </w:rPr>
        <w:t xml:space="preserve"> Tax Election. Lost Creek and Fort Union shall have each made an election under Section 754 of the Internal Revenue Code. </w:t>
      </w:r>
    </w:p>
    <w:p>
      <w:pPr>
        <w:pStyle w:val="Heading3"/>
        <w:widowControl/>
        <w:rPr/>
      </w:pPr>
      <w:r>
        <w:rPr>
          <w:strike/>
        </w:rPr>
        <w:t>(i)</w:t>
      </w:r>
      <w:r>
        <w:rPr/>
        <w:tab/>
      </w:r>
      <w:r>
        <w:rPr>
          <w:u w:val="single"/>
        </w:rPr>
        <w:t>Lender Consent</w:t>
      </w:r>
      <w:r>
        <w:rPr/>
        <w:t xml:space="preserve">.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xml:space="preserve">.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w:t>
      </w:r>
      <w:r>
        <w:rPr>
          <w:u w:val="single"/>
        </w:rPr>
        <w:t>(i)</w:t>
      </w:r>
      <w:r>
        <w:rPr/>
        <w:t xml:space="preserve">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 </w:t>
      </w:r>
      <w:r>
        <w:rPr>
          <w:u w:val="single"/>
        </w:rPr>
        <w:t>and (ii)</w:t>
      </w:r>
      <w:r>
        <w:rPr/>
        <w:t> </w:t>
      </w:r>
      <w:r>
        <w:rPr>
          <w:u w:val="single"/>
        </w:rPr>
        <w:t>if Seller has not been fully released from its obligations under the Firm Gas Gathering Agreements and the NCO Agreements by the second anniversary of the Closing Date, then Purchaser’s indemnity obligations in Section 6.4(ii)</w:t>
      </w:r>
      <w:r>
        <w:rPr/>
        <w:t xml:space="preserve"> </w:t>
      </w:r>
      <w:r>
        <w:rPr>
          <w:u w:val="single"/>
        </w:rPr>
        <w:t>shall not terminate and continue in full force and effect until the earlier of the date on which Seller obtains such release or the expiration of the applicable statute of limitations</w:t>
      </w:r>
      <w:r>
        <w:rPr/>
        <w:t>.</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w:t>
      </w:r>
      <w:r>
        <w:rPr>
          <w:u w:val="single"/>
        </w:rPr>
        <w:t>Adjusted</w:t>
      </w:r>
      <w:r>
        <w:rPr/>
        <w:t xml:space="preserv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w:t>
      </w:r>
      <w:r>
        <w:rPr>
          <w:u w:val="single"/>
        </w:rPr>
        <w:t>Adjusted</w:t>
      </w:r>
      <w:r>
        <w:rPr/>
        <w:t xml:space="preserve">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widowControl/>
        <w:rPr/>
      </w:pPr>
      <w:r>
        <w:rPr/>
        <w:t>(d)</w:t>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ARTICLE VII</w:t>
        <w:br/>
        <w:t>TERMINATION</w:t>
      </w:r>
    </w:p>
    <w:p>
      <w:pPr>
        <w:pStyle w:val="Heading2"/>
        <w:widowControl/>
        <w:rPr/>
      </w:pPr>
      <w:r>
        <w:rPr/>
        <w:t>7.1</w:t>
        <w:tab/>
      </w:r>
      <w:r>
        <w:rPr>
          <w:u w:val="single"/>
        </w:rPr>
        <w:t>Termination</w:t>
      </w:r>
      <w:r>
        <w:rPr/>
        <w:t>.  This Agreement and the transactions contemplated hereby may be terminated at any time prior to the Closing:</w:t>
      </w:r>
    </w:p>
    <w:p>
      <w:pPr>
        <w:pStyle w:val="Heading3"/>
        <w:widowControl/>
        <w:rPr/>
      </w:pPr>
      <w:r>
        <w:rPr/>
        <w:t>(a)</w:t>
        <w:tab/>
        <w:t xml:space="preserve">by the written mutual consent of Seller and Purchaser; or </w:t>
      </w:r>
    </w:p>
    <w:p>
      <w:pPr>
        <w:pStyle w:val="Heading3"/>
        <w:widowControl/>
        <w:rPr/>
      </w:pPr>
      <w:r>
        <w:rPr/>
        <w:t>(b)</w:t>
        <w:tab/>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t>7.2</w:t>
        <w:tab/>
      </w: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t>ARTICLE VIII</w:t>
        <w:br/>
        <w:t>PARTICIPATION RIGHTS</w:t>
      </w:r>
    </w:p>
    <w:p>
      <w:pPr>
        <w:pStyle w:val="Heading2"/>
        <w:widowControl/>
        <w:rPr>
          <w:u w:val="single"/>
        </w:rPr>
      </w:pPr>
      <w:r>
        <w:rPr/>
        <w:t>8.1</w:t>
        <w:tab/>
      </w: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widowControl/>
        <w:rPr>
          <w:b/>
          <w:bCs/>
        </w:rPr>
      </w:pPr>
      <w:r>
        <w:rPr/>
        <w:t>8.2</w:t>
        <w:tab/>
      </w: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widowControl/>
        <w:rPr/>
      </w:pPr>
      <w:r>
        <w:rPr/>
        <w:t>8.3</w:t>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t>8.4</w:t>
        <w:tab/>
      </w: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widowControl/>
        <w:rPr/>
      </w:pPr>
      <w:r>
        <w:rPr/>
        <w:t>8.5</w:t>
        <w:tab/>
      </w: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widowControl/>
        <w:ind w:hanging="0" w:start="0"/>
        <w:rPr/>
      </w:pPr>
      <w:r>
        <w:rPr/>
        <w:t>ARTICLE IX</w:t>
        <w:br/>
        <w:t>MISCELLANEOUS</w:t>
      </w:r>
    </w:p>
    <w:p>
      <w:pPr>
        <w:pStyle w:val="Heading2"/>
        <w:widowControl/>
        <w:rPr/>
      </w:pPr>
      <w:r>
        <w:rPr/>
        <w:t>9.1</w:t>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t>9.2</w:t>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t>9.3</w:t>
        <w:tab/>
      </w:r>
      <w:r>
        <w:rPr>
          <w:u w:val="single"/>
        </w:rPr>
        <w:t>Assignment; Binding Effect</w:t>
      </w:r>
      <w:r>
        <w:rPr/>
        <w:t xml:space="preserve">.  Neither this Agreement nor any of the rights, interests or obligations hereunder shall be assigned by any </w:t>
      </w:r>
      <w:r>
        <w:rPr>
          <w:strike/>
        </w:rPr>
        <w:t>of the Parties</w:t>
      </w:r>
      <w:r>
        <w:rPr/>
        <w:t xml:space="preserve"> </w:t>
      </w:r>
      <w:r>
        <w:rPr>
          <w:u w:val="single"/>
        </w:rPr>
        <w:t>Party</w:t>
      </w:r>
      <w:r>
        <w:rPr/>
        <w:t xml:space="preserve"> (whether by operation of law or otherwise) without the prior written consent of the other </w:t>
      </w:r>
      <w:r>
        <w:rPr>
          <w:strike/>
        </w:rPr>
        <w:t>Parties</w:t>
      </w:r>
      <w:r>
        <w:rPr/>
        <w:t xml:space="preserve"> </w:t>
      </w:r>
      <w:r>
        <w:rPr>
          <w:u w:val="single"/>
        </w:rPr>
        <w:t>Party</w:t>
      </w:r>
      <w:r>
        <w:rPr/>
        <w:t xml:space="preserve">; </w:t>
      </w:r>
      <w:r>
        <w:rPr>
          <w:i/>
          <w:iCs/>
        </w:rPr>
        <w:t>provided, however</w:t>
      </w:r>
      <w:r>
        <w:rPr/>
        <w:t xml:space="preserve">, that Purchaser may assign its rights, interests or obligations hereunder to its Affiliates without the prior written consent of the other </w:t>
      </w:r>
      <w:r>
        <w:rPr>
          <w:strike/>
        </w:rPr>
        <w:t>Parties</w:t>
      </w:r>
      <w:r>
        <w:rPr/>
        <w:t xml:space="preserve"> </w:t>
      </w:r>
      <w:r>
        <w:rPr>
          <w:u w:val="single"/>
        </w:rPr>
        <w:t>Party</w:t>
      </w:r>
      <w:r>
        <w:rPr/>
        <w:t xml:space="preserve">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t>9.4</w:t>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t>9.5</w:t>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u w:val="single"/>
        </w:rPr>
        <w:t>If to Seller</w:t>
      </w:r>
      <w:r>
        <w:rPr/>
        <w:t>:</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NBP Energy Pipelines, L.L.C.</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Attention:  Mr. Robert Hill</w:t>
      </w:r>
    </w:p>
    <w:p>
      <w:pPr>
        <w:pStyle w:val="BodyText2"/>
        <w:widowControl/>
        <w:rPr/>
      </w:pPr>
      <w:r>
        <w:rPr/>
        <w:t>Telephone:  402-398-7888</w:t>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u w:val="single"/>
        </w:rPr>
        <w:t>Section 9.5</w:t>
      </w:r>
      <w:r>
        <w:rPr/>
        <w:t>.</w:t>
      </w:r>
    </w:p>
    <w:p>
      <w:pPr>
        <w:pStyle w:val="BodyText"/>
        <w:widowControl/>
        <w:rPr/>
      </w:pPr>
      <w:r>
        <w:rPr/>
      </w:r>
    </w:p>
    <w:p>
      <w:pPr>
        <w:pStyle w:val="Heading2"/>
        <w:widowControl/>
        <w:rPr/>
      </w:pPr>
      <w:r>
        <w:rPr/>
        <w:t>9.6</w:t>
        <w:tab/>
      </w:r>
      <w:r>
        <w:rPr>
          <w:u w:val="single"/>
        </w:rPr>
        <w:t>Amendment</w:t>
      </w:r>
      <w:r>
        <w:rPr/>
        <w:t xml:space="preserve">.  This Agreement may be amended by the Parties at any time only by a written instrument signed on behalf of each of the Parties. </w:t>
      </w:r>
    </w:p>
    <w:p>
      <w:pPr>
        <w:pStyle w:val="Heading2"/>
        <w:widowControl/>
        <w:rPr/>
      </w:pPr>
      <w:r>
        <w:rPr/>
        <w:t>9.7</w:t>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t>9.8</w:t>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t>9.9</w:t>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NBP ENERGY PIPELINES, L.L.C.</w:t>
      </w:r>
    </w:p>
    <w:p>
      <w:pPr>
        <w:pStyle w:val="Signature"/>
        <w:widowControl/>
        <w:rPr>
          <w:b/>
          <w:bCs/>
        </w:rPr>
      </w:pPr>
      <w:r>
        <w:rPr>
          <w:b/>
          <w:bCs/>
        </w:rPr>
      </w:r>
    </w:p>
    <w:p>
      <w:pPr>
        <w:pStyle w:val="Signature"/>
        <w:widowControl/>
        <w:tabs>
          <w:tab w:val="left" w:pos="4860" w:leader="none"/>
          <w:tab w:val="right" w:pos="9360" w:leader="none"/>
        </w:tabs>
        <w:rPr/>
      </w:pPr>
      <w:r>
        <w:rPr/>
        <w:t>By:</w:t>
        <w:tab/>
      </w:r>
      <w:r>
        <w:rPr>
          <w:u w:val="single"/>
        </w:rPr>
        <w:tab/>
      </w:r>
    </w:p>
    <w:p>
      <w:pPr>
        <w:pStyle w:val="Signature"/>
        <w:widowControl/>
        <w:tabs>
          <w:tab w:val="left" w:pos="4860" w:leader="none"/>
          <w:tab w:val="right" w:pos="9360" w:leader="none"/>
        </w:tabs>
        <w:rPr/>
      </w:pPr>
      <w:r>
        <w:rPr/>
        <w:t>Name:</w:t>
      </w:r>
      <w:r>
        <w:rPr>
          <w:u w:val="single"/>
        </w:rPr>
        <w:tab/>
      </w:r>
    </w:p>
    <w:p>
      <w:pPr>
        <w:pStyle w:val="Signature"/>
        <w:widowControl/>
        <w:tabs>
          <w:tab w:val="left" w:pos="4860" w:leader="none"/>
          <w:tab w:val="right" w:pos="9360" w:leader="none"/>
        </w:tabs>
        <w:rPr/>
      </w:pPr>
      <w:r>
        <w:rPr/>
        <w:t>Title:</w:t>
      </w:r>
      <w:r>
        <w:rPr>
          <w:u w:val="single"/>
        </w:rPr>
        <w:tab/>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t>EMS Gathering System</w:t>
      </w:r>
    </w:p>
    <w:p>
      <w:pPr>
        <w:pStyle w:val="BodyText"/>
        <w:widowControl/>
        <w:rPr/>
      </w:pPr>
      <w:r>
        <w:rPr/>
        <w:t>Exhibit B</w:t>
        <w:tab/>
        <w:t>-</w:t>
        <w:tab/>
        <w:t>Administrative Services Agreement</w:t>
      </w:r>
    </w:p>
    <w:p>
      <w:pPr>
        <w:pStyle w:val="BodyText"/>
        <w:widowControl/>
        <w:rPr/>
      </w:pPr>
      <w:r>
        <w:rPr/>
        <w:t>Exhibit C</w:t>
        <w:tab/>
        <w:t>-</w:t>
        <w:tab/>
        <w:t>Master Services Agreement</w:t>
      </w:r>
    </w:p>
    <w:p>
      <w:pPr>
        <w:pStyle w:val="BodyText"/>
        <w:widowControl/>
        <w:rPr/>
      </w:pPr>
      <w:r>
        <w:rPr/>
        <w:t>Exhibit D</w:t>
        <w:tab/>
        <w:t>-</w:t>
        <w:tab/>
        <w:t>Description of Specified Geographical Area</w:t>
      </w:r>
    </w:p>
    <w:p>
      <w:pPr>
        <w:pStyle w:val="BodyText"/>
        <w:widowControl/>
        <w:rPr/>
      </w:pPr>
      <w:r>
        <w:rPr/>
        <w:t>Exhibit E-1</w:t>
        <w:tab/>
        <w:t>-</w:t>
        <w:tab/>
        <w:t>Assignment and Assumption Agreement - EMS</w:t>
      </w:r>
    </w:p>
    <w:p>
      <w:pPr>
        <w:pStyle w:val="BodyText"/>
        <w:widowControl/>
        <w:rPr/>
      </w:pPr>
      <w:r>
        <w:rPr/>
        <w:t>Exhibit E-2</w:t>
        <w:tab/>
        <w:t>-</w:t>
        <w:tab/>
        <w:t>Assignment and Assumption Agreement - EWR and EPR</w:t>
      </w:r>
    </w:p>
    <w:p>
      <w:pPr>
        <w:pStyle w:val="BodyText"/>
        <w:widowControl/>
        <w:rPr/>
      </w:pPr>
      <w:r>
        <w:rPr/>
        <w:t>Exhibit F</w:t>
        <w:tab/>
        <w:t>-</w:t>
        <w:tab/>
        <w:t>Seller’s Officer’s Certificate</w:t>
      </w:r>
    </w:p>
    <w:p>
      <w:pPr>
        <w:pStyle w:val="BodyText"/>
        <w:widowControl/>
        <w:rPr/>
      </w:pPr>
      <w:r>
        <w:rPr/>
        <w:t>Exhibit G</w:t>
        <w:tab/>
        <w:t>-</w:t>
        <w:tab/>
        <w:t>Guaranty</w:t>
      </w:r>
    </w:p>
    <w:p>
      <w:pPr>
        <w:pStyle w:val="BodyText"/>
        <w:widowControl/>
        <w:rPr/>
      </w:pPr>
      <w:r>
        <w:rPr/>
        <w:t>Exhibit H</w:t>
        <w:tab/>
        <w:t>-</w:t>
        <w:tab/>
        <w:t>Purchaser’s Officer’s Certificate</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Credit Support Obligations</w:t>
      </w:r>
    </w:p>
    <w:p>
      <w:pPr>
        <w:pStyle w:val="BodyText"/>
        <w:widowControl/>
        <w:rPr/>
      </w:pPr>
      <w:r>
        <w:rPr/>
        <w:t>Schedule 1.1(b)</w:t>
        <w:tab/>
        <w:t>-</w:t>
        <w:tab/>
        <w:t>Existing EMS Gathering Agreements</w:t>
      </w:r>
    </w:p>
    <w:p>
      <w:pPr>
        <w:pStyle w:val="BodyText"/>
        <w:widowControl/>
        <w:rPr/>
      </w:pPr>
      <w:r>
        <w:rPr/>
        <w:t>Schedule 1.1(c)</w:t>
        <w:tab/>
        <w:t>-</w:t>
        <w:tab/>
        <w:t>Firm Gas Gathering Agreements</w:t>
      </w:r>
    </w:p>
    <w:p>
      <w:pPr>
        <w:pStyle w:val="BodyText"/>
        <w:widowControl/>
        <w:rPr/>
      </w:pPr>
      <w:r>
        <w:rPr/>
        <w:t>Schedule 1.1(d)</w:t>
        <w:tab/>
        <w:t>-</w:t>
        <w:tab/>
        <w:t>NCO Agreements</w:t>
      </w:r>
    </w:p>
    <w:p>
      <w:pPr>
        <w:pStyle w:val="BodyText"/>
        <w:widowControl/>
        <w:rPr>
          <w:strike/>
        </w:rPr>
      </w:pPr>
      <w:r>
        <w:rPr>
          <w:strike/>
        </w:rPr>
        <w:t>Schedule 1.1(e) - Completed Systems</w:t>
      </w:r>
    </w:p>
    <w:p>
      <w:pPr>
        <w:pStyle w:val="BodyText"/>
        <w:widowControl/>
        <w:rPr/>
      </w:pPr>
      <w:r>
        <w:rPr/>
        <w:t>Schedule 3.1(a)</w:t>
        <w:tab/>
        <w:tab/>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Title to Membership Interests</w:t>
      </w:r>
    </w:p>
    <w:p>
      <w:pPr>
        <w:pStyle w:val="BodyText"/>
        <w:widowControl/>
        <w:rPr/>
      </w:pPr>
      <w:r>
        <w:rPr/>
        <w:t>Schedule 3.1(g)</w:t>
        <w:tab/>
        <w:t>-</w:t>
        <w:tab/>
        <w:t>Capital Account Balances</w:t>
      </w:r>
    </w:p>
    <w:p>
      <w:pPr>
        <w:pStyle w:val="BodyText"/>
        <w:widowControl/>
        <w:rPr/>
      </w:pPr>
      <w:r>
        <w:rPr/>
        <w:t>Schedule 3.1(h)</w:t>
        <w:tab/>
        <w:t>-</w:t>
        <w:tab/>
        <w:t>Business Activities</w:t>
      </w:r>
    </w:p>
    <w:p>
      <w:pPr>
        <w:pStyle w:val="BodyText"/>
        <w:widowControl/>
        <w:rPr/>
      </w:pPr>
      <w:r>
        <w:rPr/>
        <w:t>Schedule 3.1(i)</w:t>
        <w:tab/>
        <w:t>-</w:t>
        <w:tab/>
        <w:t>Financial Statements</w:t>
      </w:r>
    </w:p>
    <w:p>
      <w:pPr>
        <w:pStyle w:val="BodyText"/>
        <w:widowControl/>
        <w:rPr/>
      </w:pPr>
      <w:r>
        <w:rPr>
          <w:u w:val="single"/>
        </w:rPr>
        <w:t>Schedule 3.1(j)</w:t>
      </w:r>
      <w:r>
        <w:rPr/>
        <w:tab/>
      </w:r>
      <w:r>
        <w:rPr>
          <w:u w:val="single"/>
        </w:rPr>
        <w:t>-</w:t>
      </w:r>
      <w:r>
        <w:rPr/>
        <w:tab/>
      </w:r>
      <w:r>
        <w:rPr>
          <w:u w:val="single"/>
        </w:rPr>
        <w:t>Absence of Undisclosed Liabilities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pPr>
      <w:r>
        <w:rPr/>
        <w:t>Schedule 4.5</w:t>
        <w:tab/>
        <w:tab/>
        <w:t>-</w:t>
        <w:tab/>
        <w:t>Preclosing Matters</w:t>
      </w:r>
      <w:r>
        <w:br w:type="page"/>
      </w:r>
    </w:p>
    <w:p>
      <w:pPr>
        <w:pStyle w:val="Heading"/>
        <w:widowControl/>
        <w:rPr/>
      </w:pPr>
      <w:r>
        <w:rPr/>
        <w:t xml:space="preserve">Schedule 1.1(a) </w:t>
      </w:r>
    </w:p>
    <w:p>
      <w:pPr>
        <w:pStyle w:val="Heading"/>
        <w:widowControl/>
        <w:rPr/>
      </w:pPr>
      <w:r>
        <w:rPr/>
        <w:t>CREDIT SUPPORT OBLIGATIONS</w:t>
      </w:r>
    </w:p>
    <w:p>
      <w:pPr>
        <w:pStyle w:val="Heading"/>
        <w:widowControl/>
        <w:rPr>
          <w:b w:val="false"/>
          <w:bCs w:val="false"/>
        </w:rPr>
      </w:pPr>
      <w:r>
        <w:rPr>
          <w:b w:val="false"/>
          <w:bCs w:val="false"/>
        </w:rPr>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widowControl/>
        <w:jc w:val="both"/>
        <w:rPr/>
      </w:pPr>
      <w:r>
        <w:rPr/>
      </w:r>
    </w:p>
    <w:p>
      <w:pPr>
        <w:pStyle w:val="BlockText"/>
        <w:widowControl/>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widowControl/>
        <w:jc w:val="both"/>
        <w:rPr/>
      </w:pPr>
      <w:r>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widowControl/>
        <w:jc w:val="both"/>
        <w:rPr/>
      </w:pPr>
      <w:r>
        <w:rPr/>
      </w:r>
    </w:p>
    <w:p>
      <w:pPr>
        <w:pStyle w:val="BlockText"/>
        <w:widowControl/>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widowControl/>
        <w:jc w:val="both"/>
        <w:rPr/>
      </w:pPr>
      <w:r>
        <w:rPr/>
        <w:t>The Consent to Assignment, dated as of September [__], 2000,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562951.10</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9-13-00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2000-09-13T22:16:00Z</dcterms:created>
  <dc:creator>CMS Energy</dc:creator>
  <dc:description/>
  <dc:language>en-CA</dc:language>
  <cp:lastModifiedBy>A&amp;K</cp:lastModifiedBy>
  <cp:lastPrinted>2000-08-31T21:49:00Z</cp:lastPrinted>
  <dcterms:modified xsi:type="dcterms:W3CDTF">2000-09-13T22:16:00Z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