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BLM Cultural Resources Use Permit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2"/>
          <w:u w:val="single"/>
        </w:rPr>
        <w:t>State of New Mexico and Arizona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Regulatory Agency</w:t>
      </w:r>
      <w:r>
        <w:rPr>
          <w:sz w:val="20"/>
        </w:rPr>
        <w:t xml:space="preserve">: </w:t>
        <w:tab/>
        <w:t>BLM – Appropriate Field Office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/>
      </w:pPr>
      <w:r>
        <w:rPr>
          <w:b/>
          <w:sz w:val="20"/>
        </w:rPr>
        <w:t>Phone #</w:t>
      </w:r>
      <w:r>
        <w:rPr>
          <w:sz w:val="20"/>
        </w:rPr>
        <w:t xml:space="preserve">: </w:t>
        <w:tab/>
        <w:t xml:space="preserve">NM State Office - </w:t>
      </w:r>
      <w:r>
        <w:rPr/>
        <w:t xml:space="preserve">(505) 438-7400  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/>
      </w:pPr>
      <w:r>
        <w:rPr>
          <w:b/>
          <w:sz w:val="20"/>
        </w:rPr>
        <w:tab/>
      </w:r>
      <w:r>
        <w:rPr>
          <w:sz w:val="20"/>
        </w:rPr>
        <w:t xml:space="preserve">NM </w:t>
      </w:r>
      <w:r>
        <w:rPr/>
        <w:t>F</w:t>
      </w:r>
      <w:r>
        <w:rPr>
          <w:sz w:val="20"/>
        </w:rPr>
        <w:t xml:space="preserve">armington Field Office - </w:t>
      </w:r>
      <w:r>
        <w:rPr/>
        <w:t>(505) 599-8900</w:t>
      </w:r>
    </w:p>
    <w:p>
      <w:pPr>
        <w:pStyle w:val="Normal"/>
        <w:ind w:firstLine="720" w:start="1440" w:end="0"/>
        <w:rPr/>
      </w:pPr>
      <w:r>
        <w:rPr>
          <w:sz w:val="20"/>
        </w:rPr>
        <w:t xml:space="preserve">AZ State Office - </w:t>
      </w:r>
      <w:r>
        <w:rPr/>
        <w:t>(602) 417-9200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>
          <w:sz w:val="20"/>
        </w:rPr>
      </w:pPr>
      <w:r>
        <w:rPr>
          <w:sz w:val="20"/>
        </w:rPr>
        <w:tab/>
        <w:t>AZ Phoenix Field Office – (623) 580-5500</w:t>
      </w:r>
    </w:p>
    <w:p>
      <w:pPr>
        <w:pStyle w:val="Normal"/>
        <w:ind w:hanging="2160" w:start="2160" w:end="0"/>
        <w:rPr>
          <w:sz w:val="20"/>
        </w:rPr>
      </w:pPr>
      <w:r>
        <w:rPr>
          <w:b/>
          <w:sz w:val="20"/>
        </w:rPr>
        <w:t xml:space="preserve">Permit: </w:t>
        <w:tab/>
      </w:r>
      <w:r>
        <w:rPr>
          <w:sz w:val="20"/>
        </w:rPr>
        <w:t xml:space="preserve">BLM Cultural Resources Use Permit, Governed under the Antiquities Act, National Historic Preservation Act, </w:t>
      </w:r>
      <w:hyperlink r:id="rId2">
        <w:r>
          <w:rPr>
            <w:rStyle w:val="Hyperlink"/>
            <w:sz w:val="20"/>
          </w:rPr>
          <w:t xml:space="preserve">The Native American Graves Protection and Repatriation Act </w:t>
        </w:r>
      </w:hyperlink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 xml:space="preserve">Permit Application: </w:t>
        <w:tab/>
      </w:r>
      <w:r>
        <w:rPr>
          <w:sz w:val="20"/>
        </w:rPr>
        <w:t>Application for Cultural Resource Use permit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Application Due Date:</w:t>
        <w:tab/>
      </w:r>
      <w:r>
        <w:rPr>
          <w:sz w:val="20"/>
        </w:rPr>
        <w:t>None.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Permit Fee:</w:t>
      </w:r>
      <w:r>
        <w:rPr>
          <w:sz w:val="20"/>
        </w:rPr>
        <w:tab/>
        <w:t>None.</w:t>
      </w:r>
    </w:p>
    <w:p>
      <w:pPr>
        <w:pStyle w:val="Normal"/>
        <w:spacing w:before="0" w:after="60"/>
        <w:ind w:hanging="2160" w:start="2160" w:end="0"/>
        <w:rPr/>
      </w:pPr>
      <w:r>
        <w:rPr>
          <w:b/>
          <w:sz w:val="20"/>
        </w:rPr>
        <w:t>Notes:</w:t>
        <w:tab/>
      </w:r>
      <w:r>
        <w:rPr>
          <w:sz w:val="20"/>
        </w:rPr>
        <w:t>Separate application should be filed for each state.  Send one copy to the State BLM office and one copy to the appropriate BLM field office.</w:t>
      </w:r>
    </w:p>
    <w:p>
      <w:pPr>
        <w:pStyle w:val="Normal"/>
        <w:spacing w:before="0" w:after="60"/>
        <w:ind w:hanging="2160" w:start="2160" w:end="0"/>
        <w:rPr/>
      </w:pPr>
      <w:r>
        <w:rPr>
          <w:b/>
          <w:sz w:val="20"/>
        </w:rPr>
        <w:t>Required Information:</w:t>
        <w:tab/>
      </w:r>
      <w:r>
        <w:rPr>
          <w:sz w:val="20"/>
        </w:rPr>
        <w:t>Required information is listed in the Application.  Listed below is some of the information required.  Refer to the Application for a complete list of specific instructions and requirements.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Type of cultural resource activity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Location of proposed work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Identification of cultural resources affected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Time/duration of proposed work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 xml:space="preserve">Names of individuals responsible for carrying out work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Names of individuals responsible for overseeing field work</w:t>
      </w:r>
    </w:p>
    <w:p>
      <w:pPr>
        <w:pStyle w:val="Normal"/>
        <w:spacing w:before="0" w:after="6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>
          <w:sz w:val="20"/>
        </w:rPr>
      </w:pPr>
      <w:r>
        <w:rPr>
          <w:b/>
          <w:sz w:val="20"/>
        </w:rPr>
        <w:t>Potential Opposition/Obstacles: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Arizona/New Mexico - Navajo Nation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Arizona/New Mexico – High cultural site densities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altName w:val=" Helvetica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224"/>
        </w:tabs>
        <w:ind w:start="1224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1224"/>
        </w:tabs>
        <w:ind w:start="1224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; Helvetica" w:hAnsi="Arial; Helvetica" w:eastAsia="Times New Roman" w:cs="Arial; Helvetica"/>
      <w:color w:val="auto"/>
      <w:sz w:val="21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; Helvetica" w:hAnsi="Arial; Helvetica" w:cs="Arial; Helvetica"/>
      <w:b/>
      <w:kern w:val="2"/>
      <w:sz w:val="28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initionList">
    <w:name w:val="Definition List"/>
    <w:basedOn w:val="Normal"/>
    <w:next w:val="Normal"/>
    <w:qFormat/>
    <w:pPr>
      <w:spacing w:lineRule="auto" w:line="240"/>
      <w:ind w:hanging="0" w:start="360" w:end="0"/>
    </w:pPr>
    <w:rPr>
      <w:rFonts w:ascii="Times New Roman" w:hAnsi="Times New Roman" w:cs="Times New Roman"/>
      <w:sz w:val="24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st.uark.edu/other/nps/nagpra/nagpra.dat/lgm003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2001-09-06T18:50:00Z</dcterms:created>
  <dc:creator>Janet Wood</dc:creator>
  <dc:description/>
  <dc:language>en-CA</dc:language>
  <cp:lastModifiedBy> </cp:lastModifiedBy>
  <cp:lastPrinted>2001-09-06T15:14:00Z</cp:lastPrinted>
  <dcterms:modified xsi:type="dcterms:W3CDTF">2001-09-06T19:12:00Z</dcterms:modified>
  <cp:revision>4</cp:revision>
  <dc:subject/>
  <dc:title>Hydrostatic Test Water Discharge Permit</dc:title>
</cp:coreProperties>
</file>