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Standard Form 299 (10/95)</w:t>
      </w:r>
    </w:p>
    <w:p>
      <w:pPr>
        <w:pStyle w:val="Normal"/>
        <w:jc w:val="center"/>
        <w:rPr>
          <w:b/>
          <w:bCs/>
        </w:rPr>
      </w:pPr>
      <w:r>
        <w:rPr>
          <w:b/>
          <w:bCs/>
        </w:rPr>
        <w:t>Application of Right of Way</w:t>
      </w:r>
    </w:p>
    <w:p>
      <w:pPr>
        <w:pStyle w:val="Normal"/>
        <w:jc w:val="center"/>
        <w:rPr>
          <w:b/>
          <w:bCs/>
        </w:rPr>
      </w:pPr>
      <w:r>
        <w:rPr>
          <w:b/>
          <w:bCs/>
        </w:rPr>
        <w:t>Badger Wash Gas Plant and Gathering System</w:t>
      </w:r>
    </w:p>
    <w:p>
      <w:pPr>
        <w:pStyle w:val="Normal"/>
        <w:rPr>
          <w:b/>
          <w:bCs/>
        </w:rPr>
      </w:pPr>
      <w:r>
        <w:rPr>
          <w:b/>
          <w:bCs/>
        </w:rPr>
      </w:r>
    </w:p>
    <w:p>
      <w:pPr>
        <w:pStyle w:val="Normal"/>
        <w:rPr/>
      </w:pPr>
      <w:r>
        <w:rPr/>
      </w:r>
    </w:p>
    <w:p>
      <w:pPr>
        <w:pStyle w:val="Normal"/>
        <w:rPr/>
      </w:pPr>
      <w:r>
        <w:rPr/>
      </w:r>
    </w:p>
    <w:p>
      <w:pPr>
        <w:pStyle w:val="Normal"/>
        <w:rPr/>
      </w:pPr>
      <w:r>
        <w:rPr/>
      </w:r>
    </w:p>
    <w:p>
      <w:pPr>
        <w:pStyle w:val="BodyText"/>
        <w:rPr/>
      </w:pPr>
      <w:r>
        <w:rPr/>
        <w:t>12.</w:t>
        <w:tab/>
        <w:t>Give Statement or your technical and financial capability to construct, operate, maintain, and terminate system for which authorization is being requested.</w:t>
      </w:r>
    </w:p>
    <w:p>
      <w:pPr>
        <w:pStyle w:val="Normal"/>
        <w:rPr/>
      </w:pPr>
      <w:r>
        <w:rPr/>
      </w:r>
    </w:p>
    <w:p>
      <w:pPr>
        <w:pStyle w:val="BodyText2"/>
        <w:rPr/>
      </w:pPr>
      <w:r>
        <w:rPr/>
        <w:t xml:space="preserve">Crescendo Energy, LLC is a limited liability company comprised of: Entrada Energy Ventures, L.L.C., an Enron North America company; NG Resources, Inc., an affiliate of BCCK Engineering, Inc.; and Crescendo Energy Partners, LLC, the Managing Member of Crescendo Energy, LLC.  Crescendo Energy owns flowing and shut-in low-Btu gas production in Mesa County, Colorado and eastern Utah.  The members of Crescendo Energy each have over 15 years experience in the oil and gas production, construction, and processing business.  Crescendo Energy is bonded and insured for gas field operations in both Colorado and Utah.   </w:t>
      </w:r>
    </w:p>
    <w:p>
      <w:pPr>
        <w:pStyle w:val="Normal"/>
        <w:jc w:val="both"/>
        <w:rPr/>
      </w:pPr>
      <w:r>
        <w:rPr/>
      </w:r>
    </w:p>
    <w:p>
      <w:pPr>
        <w:pStyle w:val="Normal"/>
        <w:jc w:val="both"/>
        <w:rPr/>
      </w:pPr>
      <w:r>
        <w:rPr/>
      </w:r>
    </w:p>
    <w:p>
      <w:pPr>
        <w:pStyle w:val="BodyText"/>
        <w:rPr/>
      </w:pPr>
      <w:r>
        <w:rPr/>
        <w:t>15.</w:t>
        <w:tab/>
        <w:t>Provide statement of need for project, including the economic feasibility and items such as: (a) cost of proposal (construction, operation, and maintenance); (b) estimated cost of next best alternative; and (c) expected public benefits.</w:t>
      </w:r>
    </w:p>
    <w:p>
      <w:pPr>
        <w:pStyle w:val="Normal"/>
        <w:jc w:val="both"/>
        <w:rPr/>
      </w:pPr>
      <w:r>
        <w:rPr/>
      </w:r>
    </w:p>
    <w:p>
      <w:pPr>
        <w:pStyle w:val="Normal"/>
        <w:jc w:val="both"/>
        <w:rPr/>
      </w:pPr>
      <w:r>
        <w:rPr/>
        <w:t>Crescendo’s Badger Wash Gas Plant and gathering system will allow Crescendo Energy, LLC with the means for resumption of its low-Btu gas well production and transportation to market.  Crescendo, as well as other local gas producers, currently have shut-in low-Btu gas wells and are in danger of losing BLM leases unless production resumes.  Gas from these wells, although proved developed, cannot be produced and marketed without processing and treating due to the high concentration of inert components and out-of-spec hydrocarbon dew point.  The BWGP will treat and process the inlet low-Btu gas by reducing the inert components and hydrocarbon dew point to meet pipeline specifications.  The inert components to be treated include Carbon Dioxide (CO</w:t>
      </w:r>
      <w:r>
        <w:rPr>
          <w:vertAlign w:val="subscript"/>
        </w:rPr>
        <w:t>2</w:t>
      </w:r>
      <w:r>
        <w:rPr/>
        <w:t>) and Nitrogen (N</w:t>
      </w:r>
      <w:r>
        <w:rPr>
          <w:vertAlign w:val="subscript"/>
        </w:rPr>
        <w:t>2</w:t>
      </w:r>
      <w:r>
        <w:rPr/>
        <w:t xml:space="preserve">).  Initial capital cost of this project is expected to exceed ten million dollars.  This project allows low-Btu gas in this area to flow to market that has not previously been able to flow, generating additional federal royalties and state and local taxes on that production.   </w:t>
      </w:r>
    </w:p>
    <w:p>
      <w:pPr>
        <w:pStyle w:val="Normal"/>
        <w:jc w:val="both"/>
        <w:rPr/>
      </w:pPr>
      <w:r>
        <w:rPr/>
      </w:r>
      <w:r>
        <w:br w:type="page"/>
      </w:r>
    </w:p>
    <w:p>
      <w:pPr>
        <w:pStyle w:val="Normal"/>
        <w:jc w:val="center"/>
        <w:rPr>
          <w:b/>
          <w:bCs/>
        </w:rPr>
      </w:pPr>
      <w:r>
        <w:rPr>
          <w:b/>
          <w:bCs/>
        </w:rPr>
        <w:t>Standard Form 299 (10/95)</w:t>
      </w:r>
    </w:p>
    <w:p>
      <w:pPr>
        <w:pStyle w:val="Normal"/>
        <w:jc w:val="center"/>
        <w:rPr>
          <w:b/>
          <w:bCs/>
        </w:rPr>
      </w:pPr>
      <w:r>
        <w:rPr>
          <w:b/>
          <w:bCs/>
        </w:rPr>
        <w:t>Supplemental Page</w:t>
      </w:r>
    </w:p>
    <w:p>
      <w:pPr>
        <w:pStyle w:val="Normal"/>
        <w:jc w:val="center"/>
        <w:rPr>
          <w:b/>
          <w:bCs/>
        </w:rPr>
      </w:pPr>
      <w:r>
        <w:rPr>
          <w:b/>
          <w:bCs/>
        </w:rPr>
      </w:r>
    </w:p>
    <w:p>
      <w:pPr>
        <w:pStyle w:val="Normal"/>
        <w:jc w:val="center"/>
        <w:rPr>
          <w:b/>
          <w:bCs/>
        </w:rPr>
      </w:pPr>
      <w:r>
        <w:rPr>
          <w:b/>
          <w:bCs/>
        </w:rPr>
        <w:t>Application of Right of Way</w:t>
      </w:r>
    </w:p>
    <w:p>
      <w:pPr>
        <w:pStyle w:val="Normal"/>
        <w:jc w:val="center"/>
        <w:rPr>
          <w:b/>
          <w:bCs/>
        </w:rPr>
      </w:pPr>
      <w:r>
        <w:rPr>
          <w:b/>
          <w:bCs/>
        </w:rPr>
        <w:t>Badger Wash Gas Plant and Gathering System</w:t>
      </w:r>
    </w:p>
    <w:p>
      <w:pPr>
        <w:pStyle w:val="Normal"/>
        <w:jc w:val="both"/>
        <w:rPr>
          <w:b/>
          <w:bCs/>
        </w:rPr>
      </w:pPr>
      <w:r>
        <w:rPr>
          <w:b/>
          <w:bCs/>
        </w:rPr>
      </w:r>
    </w:p>
    <w:p>
      <w:pPr>
        <w:pStyle w:val="Normal"/>
        <w:jc w:val="both"/>
        <w:rPr/>
      </w:pPr>
      <w:r>
        <w:rPr/>
      </w:r>
    </w:p>
    <w:p>
      <w:pPr>
        <w:pStyle w:val="Normal"/>
        <w:jc w:val="both"/>
        <w:rPr/>
      </w:pPr>
      <w:r>
        <w:rPr/>
      </w:r>
    </w:p>
    <w:p>
      <w:pPr>
        <w:pStyle w:val="Normal"/>
        <w:jc w:val="center"/>
        <w:rPr/>
      </w:pPr>
      <w:r>
        <w:rPr/>
        <w:t>I Private Corporations</w:t>
      </w:r>
    </w:p>
    <w:p>
      <w:pPr>
        <w:pStyle w:val="Normal"/>
        <w:jc w:val="both"/>
        <w:rPr/>
      </w:pPr>
      <w:r>
        <w:rPr/>
      </w:r>
    </w:p>
    <w:p>
      <w:pPr>
        <w:pStyle w:val="BodyText3"/>
        <w:rPr>
          <w:color w:val="FF0000"/>
        </w:rPr>
      </w:pPr>
      <w:r>
        <w:rPr>
          <w:color w:val="FF0000"/>
        </w:rPr>
        <w:t>Note:  Crescendo Energy considers the information submitted under this portion of the application confidential and not for public viewing.  I propose to submit this information under separate cover to the BLM with words stating our confidentiality.</w:t>
      </w:r>
    </w:p>
    <w:p>
      <w:pPr>
        <w:pStyle w:val="Normal"/>
        <w:jc w:val="both"/>
        <w:rPr>
          <w:color w:val="FF0000"/>
        </w:rPr>
      </w:pPr>
      <w:r>
        <w:rPr>
          <w:color w:val="FF0000"/>
        </w:rPr>
      </w:r>
    </w:p>
    <w:p>
      <w:pPr>
        <w:pStyle w:val="Normal"/>
        <w:jc w:val="both"/>
        <w:rPr/>
      </w:pPr>
      <w:r>
        <w:rPr/>
      </w:r>
    </w:p>
    <w:p>
      <w:pPr>
        <w:pStyle w:val="BodyText"/>
        <w:rPr/>
      </w:pPr>
      <w:r>
        <w:rPr/>
        <w:t>a.</w:t>
        <w:tab/>
        <w:t>Articles of Incorporation.</w:t>
      </w:r>
    </w:p>
    <w:p>
      <w:pPr>
        <w:pStyle w:val="Normal"/>
        <w:jc w:val="both"/>
        <w:rPr/>
      </w:pPr>
      <w:r>
        <w:rPr/>
      </w:r>
    </w:p>
    <w:p>
      <w:pPr>
        <w:pStyle w:val="Normal"/>
        <w:jc w:val="both"/>
        <w:rPr/>
      </w:pPr>
      <w:r>
        <w:rPr/>
        <w:tab/>
        <w:t xml:space="preserve">The “Limited Liability Agreement of Crescendo Energy, LLC” dated June 30, 2000 will be available for submittal under separate cover.  </w:t>
      </w:r>
    </w:p>
    <w:p>
      <w:pPr>
        <w:pStyle w:val="Normal"/>
        <w:jc w:val="both"/>
        <w:rPr/>
      </w:pPr>
      <w:r>
        <w:rPr/>
      </w:r>
    </w:p>
    <w:p>
      <w:pPr>
        <w:pStyle w:val="BodyText"/>
        <w:rPr/>
      </w:pPr>
      <w:r>
        <w:rPr/>
        <w:t>b.</w:t>
        <w:tab/>
        <w:t>Corporate Bylaws.</w:t>
      </w:r>
    </w:p>
    <w:p>
      <w:pPr>
        <w:pStyle w:val="Normal"/>
        <w:jc w:val="both"/>
        <w:rPr/>
      </w:pPr>
      <w:r>
        <w:rPr/>
      </w:r>
    </w:p>
    <w:p>
      <w:pPr>
        <w:pStyle w:val="Normal"/>
        <w:jc w:val="both"/>
        <w:rPr/>
      </w:pPr>
      <w:r>
        <w:rPr/>
        <w:tab/>
        <w:t>See item “a” above.</w:t>
      </w:r>
    </w:p>
    <w:p>
      <w:pPr>
        <w:pStyle w:val="Normal"/>
        <w:jc w:val="both"/>
        <w:rPr/>
      </w:pPr>
      <w:r>
        <w:rPr/>
      </w:r>
    </w:p>
    <w:p>
      <w:pPr>
        <w:pStyle w:val="Normal"/>
        <w:jc w:val="both"/>
        <w:rPr/>
      </w:pPr>
      <w:r>
        <w:rPr/>
      </w:r>
    </w:p>
    <w:p>
      <w:pPr>
        <w:pStyle w:val="BodyText"/>
        <w:rPr/>
      </w:pPr>
      <w:r>
        <w:rPr/>
        <w:t>c.</w:t>
        <w:tab/>
        <w:t>A certificate from the State showing the corporation is in good standing and is entitled to operate within the State.</w:t>
      </w:r>
    </w:p>
    <w:p>
      <w:pPr>
        <w:pStyle w:val="Normal"/>
        <w:jc w:val="both"/>
        <w:rPr/>
      </w:pPr>
      <w:r>
        <w:rPr/>
      </w:r>
    </w:p>
    <w:p>
      <w:pPr>
        <w:pStyle w:val="Normal"/>
        <w:jc w:val="both"/>
        <w:rPr/>
      </w:pPr>
      <w:r>
        <w:rPr/>
        <w:tab/>
        <w:t>A certificate in the State of Colorado and Utah will be available for submittal under separate cover.</w:t>
      </w:r>
    </w:p>
    <w:p>
      <w:pPr>
        <w:pStyle w:val="Normal"/>
        <w:jc w:val="both"/>
        <w:rPr/>
      </w:pPr>
      <w:r>
        <w:rPr/>
      </w:r>
    </w:p>
    <w:p>
      <w:pPr>
        <w:pStyle w:val="Normal"/>
        <w:jc w:val="both"/>
        <w:rPr/>
      </w:pPr>
      <w:r>
        <w:rPr/>
      </w:r>
    </w:p>
    <w:p>
      <w:pPr>
        <w:pStyle w:val="BodyText"/>
        <w:rPr/>
      </w:pPr>
      <w:r>
        <w:rPr/>
        <w:t>d.</w:t>
        <w:tab/>
        <w:t>Copy of resolution authorizing filing.</w:t>
      </w:r>
    </w:p>
    <w:p>
      <w:pPr>
        <w:pStyle w:val="Normal"/>
        <w:jc w:val="both"/>
        <w:rPr/>
      </w:pPr>
      <w:r>
        <w:rPr/>
      </w:r>
    </w:p>
    <w:p>
      <w:pPr>
        <w:pStyle w:val="Normal"/>
        <w:jc w:val="both"/>
        <w:rPr/>
      </w:pPr>
      <w:r>
        <w:rPr/>
        <w:tab/>
        <w:t>Crescendo Energy Partners, LLC is authorized to submit the filing for Crescendo Energy, LLC.  See the Limited Liability Agreement of Crescendo Energy, LLC.</w:t>
      </w:r>
    </w:p>
    <w:p>
      <w:pPr>
        <w:pStyle w:val="Normal"/>
        <w:jc w:val="both"/>
        <w:rPr/>
      </w:pPr>
      <w:r>
        <w:rPr/>
      </w:r>
    </w:p>
    <w:p>
      <w:pPr>
        <w:pStyle w:val="Normal"/>
        <w:jc w:val="both"/>
        <w:rPr/>
      </w:pPr>
      <w:r>
        <w:rPr/>
      </w:r>
    </w:p>
    <w:p>
      <w:pPr>
        <w:pStyle w:val="BodyText2"/>
        <w:rPr>
          <w:b/>
          <w:bCs/>
        </w:rPr>
      </w:pPr>
      <w:r>
        <w:rPr>
          <w:b/>
          <w:bCs/>
        </w:rPr>
        <w:t>e.</w:t>
        <w:tab/>
        <w:t>The name and address of each shareholder owning 3 percent or more of the shares, together with the number and percentage of any class of voting shares of the entity which such shareholder is authorized to vote and the name and address of each affiliate of the entity together with, in the case of an affiliate controlled by the entity, the number of shares and the percentage of any class of voting stock of that affiliate owned, directly or indirectly by that entity, and in the case of an affiliate which controls that entity, the number of shares and the percentage of any class of voting stock of that entity owned, directly or indirectly, by the affiliate.</w:t>
      </w:r>
    </w:p>
    <w:p>
      <w:pPr>
        <w:pStyle w:val="Normal"/>
        <w:jc w:val="both"/>
        <w:rPr>
          <w:b/>
          <w:bCs/>
        </w:rPr>
      </w:pPr>
      <w:r>
        <w:rPr>
          <w:b/>
          <w:bCs/>
        </w:rPr>
      </w:r>
    </w:p>
    <w:p>
      <w:pPr>
        <w:pStyle w:val="Normal"/>
        <w:jc w:val="both"/>
        <w:rPr/>
      </w:pPr>
      <w:r>
        <w:rPr/>
        <w:tab/>
        <w:t>See the Limited Liability Agreement of Crescendo Energy, LLC.</w:t>
      </w:r>
    </w:p>
    <w:p>
      <w:pPr>
        <w:pStyle w:val="Normal"/>
        <w:jc w:val="both"/>
        <w:rPr/>
      </w:pPr>
      <w:r>
        <w:rPr/>
      </w:r>
    </w:p>
    <w:p>
      <w:pPr>
        <w:pStyle w:val="Normal"/>
        <w:jc w:val="both"/>
        <w:rPr/>
      </w:pPr>
      <w:r>
        <w:rPr/>
      </w:r>
    </w:p>
    <w:p>
      <w:pPr>
        <w:pStyle w:val="BodyText"/>
        <w:rPr/>
      </w:pPr>
      <w:r>
        <w:rPr/>
        <w:t>f.</w:t>
        <w:tab/>
        <w:t xml:space="preserve"> If application is for an oil or gas pipeline, describe any related right-of-way or temporary use permit applications, and identify previous applications.</w:t>
      </w:r>
    </w:p>
    <w:p>
      <w:pPr>
        <w:pStyle w:val="Normal"/>
        <w:jc w:val="both"/>
        <w:rPr/>
      </w:pPr>
      <w:r>
        <w:rPr/>
      </w:r>
    </w:p>
    <w:p>
      <w:pPr>
        <w:pStyle w:val="Normal"/>
        <w:ind w:firstLine="720" w:end="0"/>
        <w:jc w:val="both"/>
        <w:rPr/>
      </w:pPr>
      <w:r>
        <w:rPr/>
        <w:t>See Maps</w:t>
      </w:r>
    </w:p>
    <w:p>
      <w:pPr>
        <w:pStyle w:val="Normal"/>
        <w:jc w:val="both"/>
        <w:rPr/>
      </w:pPr>
      <w:r>
        <w:rPr/>
      </w:r>
    </w:p>
    <w:p>
      <w:pPr>
        <w:pStyle w:val="Normal"/>
        <w:jc w:val="both"/>
        <w:rPr/>
      </w:pPr>
      <w:r>
        <w:rPr/>
      </w:r>
    </w:p>
    <w:p>
      <w:pPr>
        <w:pStyle w:val="BodyText"/>
        <w:rPr/>
      </w:pPr>
      <w:r>
        <w:rPr/>
        <w:t>g.</w:t>
        <w:tab/>
        <w:t xml:space="preserve">If application is for an oil or gas pipeline, identify all Federal lands by agency impacted by proposal. </w:t>
      </w:r>
    </w:p>
    <w:p>
      <w:pPr>
        <w:pStyle w:val="Normal"/>
        <w:jc w:val="both"/>
        <w:rPr/>
      </w:pPr>
      <w:r>
        <w:rPr/>
      </w:r>
    </w:p>
    <w:p>
      <w:pPr>
        <w:pStyle w:val="Normal"/>
        <w:ind w:firstLine="720" w:end="0"/>
        <w:jc w:val="both"/>
        <w:rPr/>
      </w:pPr>
      <w:r>
        <w:rPr/>
        <w:t>BLM</w:t>
      </w:r>
    </w:p>
    <w:p>
      <w:pPr>
        <w:pStyle w:val="Normal"/>
        <w:jc w:val="both"/>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style>
  <w:style w:type="paragraph" w:styleId="BodyText3">
    <w:name w:val="Body Text 3"/>
    <w:basedOn w:val="Normal"/>
    <w:qFormat/>
    <w:pPr>
      <w:jc w:val="both"/>
    </w:pPr>
    <w:rPr>
      <w:b/>
      <w:bCs/>
      <w:i/>
      <w:i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2001-02-22T13:15:00Z</dcterms:created>
  <dc:creator>Ken Krisa</dc:creator>
  <dc:description/>
  <dc:language>en-CA</dc:language>
  <cp:lastModifiedBy>Ken Krisa</cp:lastModifiedBy>
  <dcterms:modified xsi:type="dcterms:W3CDTF">2001-02-22T16:45:00Z</dcterms:modified>
  <cp:revision>5</cp:revision>
  <dc:subject/>
  <dc:title>12</dc:title>
</cp:coreProperties>
</file>