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50" w:leader="none"/>
        </w:tabs>
        <w:rPr/>
      </w:pPr>
      <w:r>
        <w:rPr/>
      </w:r>
    </w:p>
    <w:p>
      <w:pPr>
        <w:pStyle w:val="Normal"/>
        <w:tabs>
          <w:tab w:val="clear" w:pos="720"/>
          <w:tab w:val="right" w:pos="9350" w:leader="none"/>
        </w:tabs>
        <w:rPr/>
      </w:pPr>
      <w:r>
        <w:rPr/>
      </w:r>
    </w:p>
    <w:p>
      <w:pPr>
        <w:pStyle w:val="Heading6"/>
        <w:ind w:hanging="0" w:start="0"/>
        <w:rPr>
          <w:sz w:val="28"/>
        </w:rPr>
      </w:pPr>
      <w:r>
        <w:rPr>
          <w:sz w:val="28"/>
        </w:rPr>
        <w:t>UNITED STATES OF AMERICA</w:t>
      </w:r>
    </w:p>
    <w:p>
      <w:pPr>
        <w:pStyle w:val="Heading6"/>
        <w:ind w:hanging="0" w:start="0"/>
        <w:rPr>
          <w:sz w:val="28"/>
        </w:rPr>
      </w:pPr>
      <w:r>
        <w:rPr>
          <w:sz w:val="28"/>
        </w:rPr>
        <w:t>BEFORE THE</w:t>
      </w:r>
    </w:p>
    <w:p>
      <w:pPr>
        <w:pStyle w:val="Heading6"/>
        <w:ind w:hanging="0" w:start="0"/>
        <w:rPr>
          <w:sz w:val="28"/>
        </w:rPr>
      </w:pPr>
      <w:r>
        <w:rPr>
          <w:sz w:val="28"/>
        </w:rPr>
        <w:t>FEDERAL ENERGY REGULATORY COMMISSION</w:t>
      </w:r>
    </w:p>
    <w:p>
      <w:pPr>
        <w:pStyle w:val="Normal"/>
        <w:jc w:val="center"/>
        <w:rPr/>
      </w:pPr>
      <w:r>
        <w:rPr/>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p>
    <w:p>
      <w:pPr>
        <w:pStyle w:val="Normal"/>
        <w:tabs>
          <w:tab w:val="clear" w:pos="720"/>
          <w:tab w:val="center" w:pos="4680" w:leader="none"/>
          <w:tab w:val="right" w:pos="9360" w:leader="none"/>
        </w:tabs>
        <w:jc w:val="both"/>
        <w:rPr>
          <w:b/>
          <w:bCs/>
          <w:smallCaps/>
        </w:rPr>
      </w:pPr>
      <w:r>
        <w:rPr>
          <w:b/>
          <w:bCs/>
          <w:smallCaps/>
        </w:rPr>
        <w:t>San Diego Gas &amp; Electric Company,</w:t>
        <w:tab/>
        <w:t xml:space="preserve">| </w:t>
      </w:r>
    </w:p>
    <w:p>
      <w:pPr>
        <w:pStyle w:val="Normal"/>
        <w:tabs>
          <w:tab w:val="clear" w:pos="720"/>
          <w:tab w:val="center" w:pos="4680" w:leader="none"/>
          <w:tab w:val="right" w:pos="9360" w:leader="none"/>
        </w:tabs>
        <w:jc w:val="both"/>
        <w:rPr>
          <w:b/>
          <w:bCs/>
          <w:smallCaps/>
        </w:rPr>
      </w:pPr>
      <w:r>
        <w:rPr>
          <w:rFonts w:eastAsia="Arial"/>
          <w:b/>
          <w:bCs/>
          <w:smallCaps/>
        </w:rPr>
        <w:t xml:space="preserve">              </w:t>
      </w:r>
      <w:r>
        <w:rPr>
          <w:b/>
          <w:bCs/>
          <w:smallCaps/>
        </w:rPr>
        <w:t>Complainant,</w:t>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i/>
          <w:i/>
          <w:iCs/>
          <w:smallCaps/>
        </w:rPr>
      </w:pPr>
      <w:r>
        <w:rPr>
          <w:rFonts w:eastAsia="Arial"/>
          <w:b/>
          <w:bCs/>
          <w:smallCaps/>
        </w:rPr>
        <w:t xml:space="preserve">                          </w:t>
      </w:r>
      <w:r>
        <w:rPr>
          <w:b/>
          <w:bCs/>
          <w:smallCaps/>
        </w:rPr>
        <w:t>v.</w:t>
        <w:tab/>
        <w:t>|</w:t>
        <w:tab/>
        <w:t>Docket No. EL00-95-045</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 xml:space="preserve">Sellers of Energy and Ancillary </w:t>
        <w:tab/>
        <w:t>|</w:t>
      </w:r>
    </w:p>
    <w:p>
      <w:pPr>
        <w:pStyle w:val="Normal"/>
        <w:tabs>
          <w:tab w:val="clear" w:pos="720"/>
          <w:tab w:val="center" w:pos="4680" w:leader="none"/>
          <w:tab w:val="right" w:pos="9360" w:leader="none"/>
        </w:tabs>
        <w:jc w:val="both"/>
        <w:rPr>
          <w:b/>
          <w:bCs/>
          <w:smallCaps/>
        </w:rPr>
      </w:pPr>
      <w:r>
        <w:rPr>
          <w:b/>
          <w:bCs/>
          <w:smallCaps/>
        </w:rPr>
        <w:t xml:space="preserve">Service Into Markets Operated by the </w:t>
        <w:tab/>
        <w:t>|</w:t>
      </w:r>
    </w:p>
    <w:p>
      <w:pPr>
        <w:pStyle w:val="Normal"/>
        <w:tabs>
          <w:tab w:val="clear" w:pos="720"/>
          <w:tab w:val="center" w:pos="4680" w:leader="none"/>
          <w:tab w:val="right" w:pos="9360" w:leader="none"/>
        </w:tabs>
        <w:jc w:val="both"/>
        <w:rPr>
          <w:b/>
          <w:bCs/>
          <w:smallCaps/>
        </w:rPr>
      </w:pPr>
      <w:r>
        <w:rPr>
          <w:b/>
          <w:bCs/>
          <w:smallCaps/>
        </w:rPr>
        <w:t xml:space="preserve">California Independent System </w:t>
        <w:tab/>
        <w:t>|</w:t>
      </w:r>
    </w:p>
    <w:p>
      <w:pPr>
        <w:pStyle w:val="Heading7"/>
        <w:ind w:hanging="0" w:start="0"/>
        <w:rPr/>
      </w:pPr>
      <w:r>
        <w:rPr/>
        <w:t xml:space="preserve">Operator and the California Power </w:t>
        <w:tab/>
        <w:t>|</w:t>
      </w:r>
    </w:p>
    <w:p>
      <w:pPr>
        <w:pStyle w:val="Normal"/>
        <w:tabs>
          <w:tab w:val="clear" w:pos="720"/>
          <w:tab w:val="center" w:pos="4680" w:leader="none"/>
          <w:tab w:val="right" w:pos="9360" w:leader="none"/>
        </w:tabs>
        <w:jc w:val="both"/>
        <w:rPr>
          <w:b/>
          <w:bCs/>
          <w:smallCaps/>
        </w:rPr>
      </w:pPr>
      <w:r>
        <w:rPr>
          <w:b/>
          <w:bCs/>
          <w:smallCaps/>
        </w:rPr>
        <w:t>Exchange,</w:t>
        <w:tab/>
        <w:t>|</w:t>
      </w:r>
    </w:p>
    <w:p>
      <w:pPr>
        <w:pStyle w:val="Normal"/>
        <w:tabs>
          <w:tab w:val="clear" w:pos="720"/>
          <w:tab w:val="center" w:pos="4680" w:leader="none"/>
          <w:tab w:val="right" w:pos="9360" w:leader="none"/>
        </w:tabs>
        <w:jc w:val="both"/>
        <w:rPr>
          <w:b/>
          <w:bCs/>
          <w:smallCaps/>
        </w:rPr>
      </w:pPr>
      <w:r>
        <w:rPr>
          <w:rFonts w:eastAsia="Arial"/>
          <w:b/>
          <w:bCs/>
          <w:smallCaps/>
        </w:rPr>
        <w:t xml:space="preserve">              </w:t>
      </w:r>
      <w:r>
        <w:rPr>
          <w:b/>
          <w:bCs/>
          <w:smallCaps/>
        </w:rPr>
        <w:t>Respondents.</w:t>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ab/>
        <w:t>|</w:t>
      </w:r>
    </w:p>
    <w:p>
      <w:pPr>
        <w:pStyle w:val="Normal"/>
        <w:tabs>
          <w:tab w:val="clear" w:pos="720"/>
          <w:tab w:val="center" w:pos="4680" w:leader="none"/>
          <w:tab w:val="right" w:pos="9360" w:leader="none"/>
        </w:tabs>
        <w:jc w:val="both"/>
        <w:rPr>
          <w:b/>
          <w:bCs/>
          <w:smallCaps/>
        </w:rPr>
      </w:pPr>
      <w:r>
        <w:rPr>
          <w:b/>
          <w:bCs/>
          <w:smallCaps/>
        </w:rPr>
        <w:t>Investigation of Practices of the</w:t>
        <w:tab/>
        <w:t>|</w:t>
        <w:tab/>
        <w:t>Docket No. EL00-98-042</w:t>
      </w:r>
    </w:p>
    <w:p>
      <w:pPr>
        <w:pStyle w:val="Normal"/>
        <w:tabs>
          <w:tab w:val="clear" w:pos="720"/>
          <w:tab w:val="center" w:pos="4680" w:leader="none"/>
          <w:tab w:val="right" w:pos="9360" w:leader="none"/>
        </w:tabs>
        <w:jc w:val="both"/>
        <w:rPr>
          <w:b/>
          <w:bCs/>
          <w:smallCaps/>
        </w:rPr>
      </w:pPr>
      <w:r>
        <w:rPr>
          <w:b/>
          <w:bCs/>
          <w:smallCaps/>
        </w:rPr>
        <w:t>California Independent System</w:t>
        <w:tab/>
        <w:t>|</w:t>
      </w:r>
    </w:p>
    <w:p>
      <w:pPr>
        <w:pStyle w:val="Normal"/>
        <w:tabs>
          <w:tab w:val="clear" w:pos="720"/>
          <w:tab w:val="center" w:pos="4680" w:leader="none"/>
          <w:tab w:val="right" w:pos="9360" w:leader="none"/>
        </w:tabs>
        <w:jc w:val="both"/>
        <w:rPr>
          <w:b/>
          <w:bCs/>
          <w:smallCaps/>
        </w:rPr>
      </w:pPr>
      <w:r>
        <w:rPr>
          <w:b/>
          <w:bCs/>
          <w:smallCaps/>
        </w:rPr>
        <w:t>Operator and the California Power</w:t>
        <w:tab/>
        <w:t>|</w:t>
      </w:r>
    </w:p>
    <w:p>
      <w:pPr>
        <w:pStyle w:val="Normal"/>
        <w:tabs>
          <w:tab w:val="clear" w:pos="720"/>
          <w:tab w:val="center" w:pos="4680" w:leader="none"/>
          <w:tab w:val="right" w:pos="9360" w:leader="none"/>
        </w:tabs>
        <w:jc w:val="both"/>
        <w:rPr>
          <w:b/>
          <w:bCs/>
          <w:smallCaps/>
        </w:rPr>
      </w:pPr>
      <w:r>
        <w:rPr>
          <w:b/>
          <w:bCs/>
          <w:smallCaps/>
        </w:rPr>
        <w:t>Exchange</w:t>
        <w:tab/>
        <w:t>|</w:t>
      </w:r>
    </w:p>
    <w:p>
      <w:pPr>
        <w:pStyle w:val="Normal"/>
        <w:tabs>
          <w:tab w:val="clear" w:pos="720"/>
          <w:tab w:val="center" w:pos="4680" w:leader="none"/>
          <w:tab w:val="right" w:pos="9360" w:leader="none"/>
        </w:tabs>
        <w:jc w:val="both"/>
        <w:rPr>
          <w:b/>
          <w:bCs/>
          <w:smallCaps/>
        </w:rPr>
      </w:pPr>
      <w:r>
        <w:rPr>
          <w:b/>
          <w:bCs/>
          <w:smallCaps/>
        </w:rPr>
        <w:tab/>
        <w:t>|</w:t>
      </w:r>
    </w:p>
    <w:p>
      <w:pPr>
        <w:pStyle w:val="Normal"/>
        <w:jc w:val="both"/>
        <w:rPr>
          <w:b/>
          <w:bCs/>
          <w:smallCaps/>
          <w:lang w:val="en-CA" w:eastAsia="en-CA"/>
        </w:rPr>
      </w:pPr>
      <w:r>
        <w:rPr>
          <w:b/>
          <w:bCs/>
          <w:smallCaps/>
          <w:lang w:val="en-CA" w:eastAsia="en-CA"/>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15240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black" weight="38160" joinstyle="miter" endcap="flat"/>
                <v:fill o:detectmouseclick="t" on="false"/>
                <w10:wrap type="none"/>
              </v:line>
            </w:pict>
          </mc:Fallback>
        </mc:AlternateContent>
      </w:r>
    </w:p>
    <w:p>
      <w:pPr>
        <w:pStyle w:val="Normal"/>
        <w:jc w:val="both"/>
        <w:rPr/>
      </w:pPr>
      <w:r>
        <w:rPr/>
      </w:r>
    </w:p>
    <w:p>
      <w:pPr>
        <w:pStyle w:val="Heading"/>
        <w:rPr>
          <w:sz w:val="28"/>
        </w:rPr>
      </w:pPr>
      <w:r>
        <w:rPr>
          <w:sz w:val="28"/>
        </w:rPr>
        <w:t>THE CITY OF PASADENA’S RESPONSES</w:t>
      </w:r>
    </w:p>
    <w:p>
      <w:pPr>
        <w:pStyle w:val="Heading"/>
        <w:rPr>
          <w:sz w:val="28"/>
        </w:rPr>
      </w:pPr>
      <w:r>
        <w:rPr>
          <w:sz w:val="28"/>
        </w:rPr>
        <w:t xml:space="preserve">TO STAFF’S THIRD SET OF DATA REQUESTS </w:t>
      </w:r>
    </w:p>
    <w:p>
      <w:pPr>
        <w:pStyle w:val="Normal"/>
        <w:jc w:val="center"/>
        <w:rPr>
          <w:sz w:val="28"/>
        </w:rPr>
      </w:pPr>
      <w:r>
        <w:rPr>
          <w:sz w:val="28"/>
        </w:rPr>
      </w:r>
    </w:p>
    <w:p>
      <w:pPr>
        <w:pStyle w:val="Normal"/>
        <w:rPr>
          <w:rFonts w:cs="Arial"/>
        </w:rPr>
      </w:pPr>
      <w:r>
        <w:rPr>
          <w:rFonts w:cs="Arial"/>
        </w:rPr>
        <w:tab/>
      </w:r>
    </w:p>
    <w:p>
      <w:pPr>
        <w:pStyle w:val="Normal"/>
        <w:ind w:firstLine="720" w:end="0"/>
        <w:rPr/>
      </w:pPr>
      <w:r>
        <w:rPr/>
        <w:t>On November 26, 2001, the Commission’s Staff served a document on the City of Pasadena, California (“Pasadena”) denominated “Staff’s Second Set of Data Requests to the City of Pasadena.”  The November 26 document contains requests entitled “Staff/PAS-3” through “Staff/PAS-12.”  The November 26 data requests contained inadvertent errors in their title and numbering because on November 16, 2001 Staff served its “Second Set of Data Requests” to Pasadena, containing requests entitled “Staff-PAS-3” and “Staff-PAS-4.”  Pasadena has previously answered Staff’s First and Second Sets of Data Requests in a separate document.</w:t>
      </w:r>
    </w:p>
    <w:p>
      <w:pPr>
        <w:pStyle w:val="Normal"/>
        <w:rPr/>
      </w:pPr>
      <w:r>
        <w:rPr/>
      </w:r>
    </w:p>
    <w:p>
      <w:pPr>
        <w:pStyle w:val="Normal"/>
        <w:rPr/>
      </w:pPr>
      <w:r>
        <w:rPr/>
        <w:tab/>
        <w:t>To eliminate any ambiguity, Pasadena has denominated the November 26 data requests as “Staff’s Third Set of Data Requests” to Pasadena and has renumbered the individual data requests sequentially to begin with “Staff/PAS-5,” the next data request in order.  For clarity, Pasadena has restated each individual data request prior to providing its response.</w:t>
      </w:r>
    </w:p>
    <w:p>
      <w:pPr>
        <w:pStyle w:val="Normal"/>
        <w:rPr>
          <w:rFonts w:cs="Arial"/>
          <w:b/>
          <w:u w:val="single"/>
        </w:rPr>
      </w:pPr>
      <w:r>
        <w:rPr>
          <w:rFonts w:cs="Arial"/>
          <w:b/>
          <w:u w:val="single"/>
        </w:rPr>
      </w:r>
      <w:r>
        <w:br w:type="page"/>
      </w:r>
    </w:p>
    <w:p>
      <w:pPr>
        <w:pStyle w:val="Normal"/>
        <w:keepNext w:val="true"/>
        <w:rPr>
          <w:rFonts w:cs="Arial"/>
        </w:rPr>
      </w:pPr>
      <w:r>
        <w:rPr>
          <w:rFonts w:cs="Arial"/>
          <w:b/>
          <w:u w:val="single"/>
        </w:rPr>
        <w:t>STAFF/PAS-5</w:t>
      </w:r>
      <w:r>
        <w:rPr>
          <w:rFonts w:cs="Arial"/>
          <w:b/>
        </w:rPr>
        <w:t>:</w:t>
      </w:r>
    </w:p>
    <w:p>
      <w:pPr>
        <w:pStyle w:val="Header"/>
        <w:tabs>
          <w:tab w:val="clear" w:pos="4320"/>
          <w:tab w:val="clear" w:pos="9360"/>
        </w:tabs>
        <w:rPr>
          <w:rFonts w:cs="Arial"/>
        </w:rPr>
      </w:pPr>
      <w:r>
        <w:rPr>
          <w:rFonts w:cs="Arial"/>
        </w:rPr>
      </w:r>
    </w:p>
    <w:p>
      <w:pPr>
        <w:pStyle w:val="BodyText2"/>
        <w:rPr>
          <w:rFonts w:cs="Arial"/>
          <w:sz w:val="24"/>
        </w:rPr>
      </w:pPr>
      <w:r>
        <w:rPr>
          <w:rFonts w:cs="Arial"/>
          <w:sz w:val="24"/>
        </w:rPr>
        <w:t>Please provide a copy of the invoices and trade confirmations that are registered with the SCAQMD for the purchases of emission credits reflected on page 12, lines 17 through 19 of Mr. Klinkner’s testimony.</w:t>
      </w:r>
    </w:p>
    <w:p>
      <w:pPr>
        <w:pStyle w:val="Heading1"/>
        <w:ind w:hanging="0" w:start="0"/>
        <w:rPr>
          <w:rFonts w:cs="Arial"/>
          <w:sz w:val="24"/>
        </w:rPr>
      </w:pPr>
      <w:r>
        <w:rPr>
          <w:rFonts w:cs="Arial"/>
          <w:sz w:val="24"/>
        </w:rPr>
      </w:r>
    </w:p>
    <w:p>
      <w:pPr>
        <w:pStyle w:val="Heading1"/>
        <w:ind w:hanging="0" w:start="0"/>
        <w:rPr/>
      </w:pPr>
      <w:r>
        <w:rPr>
          <w:sz w:val="24"/>
          <w:u w:val="single"/>
        </w:rPr>
        <w:t>STAFF/PAS-5 RESPONSE</w:t>
      </w:r>
      <w:r>
        <w:rPr>
          <w:sz w:val="24"/>
        </w:rPr>
        <w:t>:</w:t>
      </w:r>
    </w:p>
    <w:p>
      <w:pPr>
        <w:pStyle w:val="Normal"/>
        <w:rPr>
          <w:sz w:val="24"/>
        </w:rPr>
      </w:pPr>
      <w:r>
        <w:rPr>
          <w:sz w:val="24"/>
        </w:rPr>
      </w:r>
    </w:p>
    <w:p>
      <w:pPr>
        <w:pStyle w:val="BodyText"/>
        <w:rPr>
          <w:rFonts w:cs="Arial"/>
          <w:b w:val="false"/>
          <w:bCs w:val="false"/>
        </w:rPr>
      </w:pPr>
      <w:r>
        <w:rPr>
          <w:rFonts w:cs="Arial"/>
          <w:b w:val="false"/>
          <w:bCs w:val="false"/>
        </w:rPr>
        <w:t>See file “RTC Invoices.pdf.”</w:t>
      </w:r>
    </w:p>
    <w:p>
      <w:pPr>
        <w:pStyle w:val="BodyText"/>
        <w:rPr>
          <w:rFonts w:cs="Arial"/>
        </w:rPr>
      </w:pPr>
      <w:r>
        <w:rPr>
          <w:rFonts w:cs="Arial"/>
          <w:b w:val="false"/>
          <w:bCs w:val="false"/>
        </w:rPr>
        <w:t>Response prepared by Eric R. Klinkner</w:t>
      </w:r>
    </w:p>
    <w:p>
      <w:pPr>
        <w:pStyle w:val="Normal"/>
        <w:tabs>
          <w:tab w:val="clear" w:pos="720"/>
          <w:tab w:val="left" w:pos="-1440" w:leader="none"/>
        </w:tabs>
        <w:ind w:hanging="720" w:start="720" w:end="0"/>
        <w:rPr>
          <w:rFonts w:cs="Arial"/>
          <w:szCs w:val="26"/>
        </w:rPr>
      </w:pPr>
      <w:r>
        <w:rPr>
          <w:rFonts w:cs="Arial"/>
          <w:szCs w:val="26"/>
        </w:rPr>
      </w:r>
    </w:p>
    <w:p>
      <w:pPr>
        <w:pStyle w:val="Normal"/>
        <w:rPr/>
      </w:pPr>
      <w:r>
        <w:rPr>
          <w:rFonts w:cs="Arial"/>
          <w:b/>
          <w:bCs/>
          <w:szCs w:val="26"/>
          <w:u w:val="single"/>
        </w:rPr>
        <w:t>STAFF/PAS-6</w:t>
      </w:r>
      <w:r>
        <w:rPr>
          <w:rFonts w:cs="Arial"/>
          <w:b/>
          <w:bCs/>
          <w:szCs w:val="26"/>
        </w:rPr>
        <w:t>:</w:t>
      </w:r>
    </w:p>
    <w:p>
      <w:pPr>
        <w:pStyle w:val="Normal"/>
        <w:rPr>
          <w:rFonts w:cs="Arial"/>
          <w:b/>
          <w:bCs/>
          <w:szCs w:val="26"/>
        </w:rPr>
      </w:pPr>
      <w:r>
        <w:rPr>
          <w:rFonts w:cs="Arial"/>
          <w:b/>
          <w:bCs/>
          <w:szCs w:val="26"/>
        </w:rPr>
      </w:r>
    </w:p>
    <w:p>
      <w:pPr>
        <w:pStyle w:val="Normal"/>
        <w:rPr>
          <w:rFonts w:cs="Arial"/>
          <w:szCs w:val="26"/>
        </w:rPr>
      </w:pPr>
      <w:r>
        <w:rPr>
          <w:rFonts w:cs="Arial"/>
          <w:szCs w:val="26"/>
        </w:rPr>
        <w:t>On page 13, lines 9-11, Mr. Klinkner states that in the ordinary course of Pasadena's operation, Pasadena does not anticipate purchasing emission credits.  Please provide documentary support for that statement.</w:t>
      </w:r>
    </w:p>
    <w:p>
      <w:pPr>
        <w:pStyle w:val="Normal"/>
        <w:rPr>
          <w:rFonts w:cs="Arial"/>
          <w:szCs w:val="26"/>
        </w:rPr>
      </w:pPr>
      <w:r>
        <w:rPr>
          <w:rFonts w:cs="Arial"/>
          <w:szCs w:val="26"/>
        </w:rPr>
      </w:r>
    </w:p>
    <w:p>
      <w:pPr>
        <w:pStyle w:val="Heading1"/>
        <w:ind w:hanging="0" w:start="0"/>
        <w:rPr/>
      </w:pPr>
      <w:r>
        <w:rPr>
          <w:sz w:val="24"/>
          <w:u w:val="single"/>
        </w:rPr>
        <w:t>STAFF/PAS-6 RESPONSE</w:t>
      </w:r>
      <w:r>
        <w:rPr>
          <w:sz w:val="24"/>
        </w:rPr>
        <w:t>:</w:t>
      </w:r>
    </w:p>
    <w:p>
      <w:pPr>
        <w:pStyle w:val="Normal"/>
        <w:rPr>
          <w:sz w:val="24"/>
        </w:rPr>
      </w:pPr>
      <w:r>
        <w:rPr>
          <w:sz w:val="24"/>
        </w:rPr>
      </w:r>
    </w:p>
    <w:p>
      <w:pPr>
        <w:pStyle w:val="BodyText"/>
        <w:spacing w:lineRule="auto" w:line="240"/>
        <w:rPr>
          <w:rFonts w:cs="Arial"/>
          <w:b w:val="false"/>
          <w:bCs w:val="false"/>
        </w:rPr>
      </w:pPr>
      <w:r>
        <w:rPr>
          <w:rFonts w:cs="Arial"/>
          <w:b w:val="false"/>
          <w:bCs w:val="false"/>
        </w:rPr>
        <w:t>Year 2000 was the first year Pasadena’s emissions were governed under the RECLAIM regulations. Prior to June 2000, Pasadena’s steam units were subject to Rule 1134 and the Gas Turbines were subject to Rule 1135.</w:t>
      </w:r>
    </w:p>
    <w:p>
      <w:pPr>
        <w:pStyle w:val="BodyText"/>
        <w:spacing w:lineRule="auto" w:line="240"/>
        <w:rPr>
          <w:rFonts w:cs="Arial"/>
          <w:b w:val="false"/>
          <w:bCs w:val="false"/>
        </w:rPr>
      </w:pPr>
      <w:r>
        <w:rPr>
          <w:rFonts w:cs="Arial"/>
          <w:b w:val="false"/>
          <w:bCs w:val="false"/>
        </w:rPr>
      </w:r>
    </w:p>
    <w:p>
      <w:pPr>
        <w:pStyle w:val="BodyText"/>
        <w:spacing w:lineRule="auto" w:line="240"/>
        <w:rPr>
          <w:rFonts w:cs="Arial"/>
          <w:b w:val="false"/>
          <w:bCs w:val="false"/>
        </w:rPr>
      </w:pPr>
      <w:r>
        <w:rPr>
          <w:rFonts w:cs="Arial"/>
          <w:b w:val="false"/>
          <w:bCs w:val="false"/>
        </w:rPr>
        <w:t xml:space="preserve">Even though historical emissions have exceeded Pasadena’s declining RECLAIM based emission allocation using current generating units, Pasadena can meet these limits even with the increased energy output characteristics experienced in 2001 as a result of energy sales to the ISO. This would be achieved by increasing reliance on Broadway 3, minimizing the use and output of Broadway 1 and 2, and limiting the use of Gas Turbines to stand-by reserves only. </w:t>
      </w:r>
    </w:p>
    <w:p>
      <w:pPr>
        <w:pStyle w:val="BodyText"/>
        <w:spacing w:lineRule="auto" w:line="240"/>
        <w:rPr>
          <w:rFonts w:cs="Arial"/>
          <w:b w:val="false"/>
          <w:bCs w:val="false"/>
        </w:rPr>
      </w:pPr>
      <w:r>
        <w:rPr>
          <w:rFonts w:cs="Arial"/>
          <w:b w:val="false"/>
          <w:bCs w:val="false"/>
        </w:rPr>
      </w:r>
    </w:p>
    <w:p>
      <w:pPr>
        <w:pStyle w:val="BodyText"/>
        <w:spacing w:lineRule="auto" w:line="240"/>
        <w:rPr>
          <w:rFonts w:cs="Arial"/>
          <w:b w:val="false"/>
          <w:bCs w:val="false"/>
        </w:rPr>
      </w:pPr>
      <w:r>
        <w:rPr>
          <w:rFonts w:cs="Arial"/>
          <w:b w:val="false"/>
          <w:bCs w:val="false"/>
        </w:rPr>
        <w:t>The attached file “Staff-PAS6 Chart.doc” shows a graphical representation of historical and projected annual generation and emissions.</w:t>
      </w:r>
    </w:p>
    <w:p>
      <w:pPr>
        <w:pStyle w:val="BodyText"/>
        <w:spacing w:lineRule="auto" w:line="240"/>
        <w:rPr>
          <w:rFonts w:cs="Arial"/>
          <w:b w:val="false"/>
          <w:bCs w:val="false"/>
        </w:rPr>
      </w:pPr>
      <w:r>
        <w:rPr>
          <w:rFonts w:cs="Arial"/>
          <w:b w:val="false"/>
          <w:bCs w:val="false"/>
        </w:rPr>
      </w:r>
    </w:p>
    <w:p>
      <w:pPr>
        <w:pStyle w:val="BodyText"/>
        <w:rPr>
          <w:rFonts w:cs="Arial"/>
        </w:rPr>
      </w:pPr>
      <w:r>
        <w:rPr>
          <w:rFonts w:cs="Arial"/>
          <w:b w:val="false"/>
          <w:bCs w:val="false"/>
        </w:rPr>
        <w:t>Response prepared by Eric R. Klinkner</w:t>
      </w:r>
    </w:p>
    <w:p>
      <w:pPr>
        <w:pStyle w:val="Normal"/>
        <w:rPr>
          <w:rFonts w:cs="Arial"/>
          <w:szCs w:val="26"/>
        </w:rPr>
      </w:pPr>
      <w:r>
        <w:rPr>
          <w:rFonts w:cs="Arial"/>
          <w:szCs w:val="26"/>
        </w:rPr>
      </w:r>
    </w:p>
    <w:p>
      <w:pPr>
        <w:pStyle w:val="Normal"/>
        <w:keepNext w:val="true"/>
        <w:rPr/>
      </w:pPr>
      <w:r>
        <w:rPr>
          <w:rFonts w:cs="Arial"/>
          <w:b/>
          <w:bCs/>
          <w:szCs w:val="26"/>
          <w:u w:val="single"/>
        </w:rPr>
        <w:t>STAFF/PAS-7</w:t>
      </w:r>
      <w:r>
        <w:rPr>
          <w:rFonts w:cs="Arial"/>
          <w:b/>
          <w:bCs/>
          <w:szCs w:val="26"/>
        </w:rPr>
        <w:t>:</w:t>
      </w:r>
    </w:p>
    <w:p>
      <w:pPr>
        <w:pStyle w:val="Normal"/>
        <w:keepNext w:val="true"/>
        <w:rPr>
          <w:rFonts w:cs="Arial"/>
          <w:b/>
          <w:bCs/>
          <w:szCs w:val="26"/>
        </w:rPr>
      </w:pPr>
      <w:r>
        <w:rPr>
          <w:rFonts w:cs="Arial"/>
          <w:b/>
          <w:bCs/>
          <w:szCs w:val="26"/>
        </w:rPr>
      </w:r>
    </w:p>
    <w:p>
      <w:pPr>
        <w:pStyle w:val="Normal"/>
        <w:rPr>
          <w:rFonts w:cs="Arial"/>
          <w:szCs w:val="26"/>
        </w:rPr>
      </w:pPr>
      <w:r>
        <w:rPr>
          <w:rFonts w:cs="Arial"/>
          <w:szCs w:val="26"/>
        </w:rPr>
        <w:t>Please provide documentation that demonstrates that prior to October 2000, Pasadena's emissions allocations granted by SCAQMD were sufficient to meet Pasadena's native load requirement from January 1, 1998 through the present.</w:t>
      </w:r>
    </w:p>
    <w:p>
      <w:pPr>
        <w:pStyle w:val="Normal"/>
        <w:rPr>
          <w:rFonts w:cs="Arial"/>
          <w:szCs w:val="26"/>
        </w:rPr>
      </w:pPr>
      <w:r>
        <w:rPr>
          <w:rFonts w:cs="Arial"/>
          <w:szCs w:val="26"/>
        </w:rPr>
      </w:r>
    </w:p>
    <w:p>
      <w:pPr>
        <w:pStyle w:val="Heading1"/>
        <w:ind w:hanging="0" w:start="0"/>
        <w:rPr/>
      </w:pPr>
      <w:r>
        <w:rPr>
          <w:sz w:val="24"/>
          <w:u w:val="single"/>
        </w:rPr>
        <w:t>STAFF/PAS-7 RESPONSE</w:t>
      </w:r>
      <w:r>
        <w:rPr>
          <w:sz w:val="24"/>
        </w:rPr>
        <w:t>:</w:t>
      </w:r>
    </w:p>
    <w:p>
      <w:pPr>
        <w:pStyle w:val="Header"/>
        <w:tabs>
          <w:tab w:val="clear" w:pos="4320"/>
          <w:tab w:val="clear" w:pos="9360"/>
        </w:tabs>
        <w:rPr>
          <w:sz w:val="24"/>
        </w:rPr>
      </w:pPr>
      <w:r>
        <w:rPr>
          <w:sz w:val="24"/>
        </w:rPr>
      </w:r>
    </w:p>
    <w:p>
      <w:pPr>
        <w:pStyle w:val="BodyText"/>
        <w:spacing w:lineRule="auto" w:line="240"/>
        <w:rPr>
          <w:rFonts w:cs="Arial"/>
          <w:b w:val="false"/>
          <w:bCs w:val="false"/>
        </w:rPr>
      </w:pPr>
      <w:r>
        <w:rPr>
          <w:rFonts w:cs="Arial"/>
          <w:b w:val="false"/>
          <w:bCs w:val="false"/>
        </w:rPr>
        <w:t xml:space="preserve">Not applicable. As stated in STAFF/PAS-6, Pasadena was subject to “command and control” (non market-based) emissions regulations prior to June 2000. </w:t>
      </w:r>
    </w:p>
    <w:p>
      <w:pPr>
        <w:pStyle w:val="BodyText"/>
        <w:spacing w:lineRule="auto" w:line="240"/>
        <w:rPr>
          <w:rFonts w:cs="Arial"/>
          <w:b w:val="false"/>
          <w:bCs w:val="false"/>
        </w:rPr>
      </w:pPr>
      <w:r>
        <w:rPr>
          <w:rFonts w:cs="Arial"/>
          <w:b w:val="false"/>
          <w:bCs w:val="false"/>
        </w:rPr>
      </w:r>
    </w:p>
    <w:p>
      <w:pPr>
        <w:pStyle w:val="BodyText"/>
        <w:rPr>
          <w:rFonts w:cs="Arial"/>
        </w:rPr>
      </w:pPr>
      <w:r>
        <w:rPr>
          <w:rFonts w:cs="Arial"/>
          <w:b w:val="false"/>
          <w:bCs w:val="false"/>
        </w:rPr>
        <w:t>Response prepared by Eric R. Klinkner</w:t>
      </w:r>
    </w:p>
    <w:p>
      <w:pPr>
        <w:pStyle w:val="Normal"/>
        <w:rPr>
          <w:rFonts w:cs="Arial"/>
          <w:szCs w:val="26"/>
        </w:rPr>
      </w:pPr>
      <w:r>
        <w:rPr>
          <w:rFonts w:cs="Arial"/>
          <w:szCs w:val="26"/>
        </w:rPr>
      </w:r>
    </w:p>
    <w:p>
      <w:pPr>
        <w:pStyle w:val="Normal"/>
        <w:rPr/>
      </w:pPr>
      <w:r>
        <w:rPr>
          <w:rFonts w:cs="Arial"/>
          <w:b/>
          <w:bCs/>
          <w:szCs w:val="26"/>
          <w:u w:val="single"/>
        </w:rPr>
        <w:t>STAFF/PAS-8</w:t>
      </w:r>
      <w:r>
        <w:rPr>
          <w:rFonts w:cs="Arial"/>
          <w:b/>
          <w:bCs/>
          <w:szCs w:val="26"/>
        </w:rPr>
        <w:t>:</w:t>
      </w:r>
    </w:p>
    <w:p>
      <w:pPr>
        <w:pStyle w:val="Normal"/>
        <w:rPr>
          <w:rFonts w:cs="Arial"/>
          <w:b/>
          <w:bCs/>
          <w:szCs w:val="26"/>
        </w:rPr>
      </w:pPr>
      <w:r>
        <w:rPr>
          <w:rFonts w:cs="Arial"/>
          <w:b/>
          <w:bCs/>
          <w:szCs w:val="26"/>
        </w:rPr>
      </w:r>
    </w:p>
    <w:p>
      <w:pPr>
        <w:pStyle w:val="Normal"/>
        <w:rPr>
          <w:rFonts w:cs="Arial"/>
          <w:szCs w:val="26"/>
        </w:rPr>
      </w:pPr>
      <w:r>
        <w:rPr>
          <w:rFonts w:cs="Arial"/>
          <w:szCs w:val="26"/>
        </w:rPr>
        <w:t>Did Pasadena purchase emission credits for 1998, 1999, or prior to December 2000?  If so, please specify the dates of purchase, the nature of the credits and provide supporting documentation.</w:t>
      </w:r>
    </w:p>
    <w:p>
      <w:pPr>
        <w:pStyle w:val="Normal"/>
        <w:rPr>
          <w:rFonts w:cs="Arial"/>
          <w:szCs w:val="26"/>
        </w:rPr>
      </w:pPr>
      <w:r>
        <w:rPr>
          <w:rFonts w:cs="Arial"/>
          <w:szCs w:val="26"/>
        </w:rPr>
      </w:r>
    </w:p>
    <w:p>
      <w:pPr>
        <w:pStyle w:val="Heading1"/>
        <w:ind w:hanging="0" w:start="0"/>
        <w:rPr/>
      </w:pPr>
      <w:r>
        <w:rPr>
          <w:sz w:val="24"/>
          <w:u w:val="single"/>
        </w:rPr>
        <w:t>STAFF/PAS-8 RESPONSE</w:t>
      </w:r>
      <w:r>
        <w:rPr>
          <w:sz w:val="24"/>
        </w:rPr>
        <w:t>:</w:t>
      </w:r>
    </w:p>
    <w:p>
      <w:pPr>
        <w:pStyle w:val="Normal"/>
        <w:rPr>
          <w:sz w:val="24"/>
        </w:rPr>
      </w:pPr>
      <w:r>
        <w:rPr>
          <w:sz w:val="24"/>
        </w:rPr>
      </w:r>
    </w:p>
    <w:p>
      <w:pPr>
        <w:pStyle w:val="BodyText"/>
        <w:spacing w:lineRule="auto" w:line="240"/>
        <w:rPr>
          <w:rFonts w:cs="Arial"/>
          <w:b w:val="false"/>
          <w:bCs w:val="false"/>
        </w:rPr>
      </w:pPr>
      <w:r>
        <w:rPr>
          <w:rFonts w:cs="Arial"/>
          <w:b w:val="false"/>
          <w:bCs w:val="false"/>
        </w:rPr>
        <w:t>No. As stated in STAFF/PAS-6, Pasadena did not participate in the RECLAIM emission trading market prior to June 2000. Pasadena did not anticipate a need to purchase any credits until the latter part of 2000.</w:t>
      </w:r>
    </w:p>
    <w:p>
      <w:pPr>
        <w:pStyle w:val="BodyText"/>
        <w:spacing w:lineRule="auto" w:line="240"/>
        <w:rPr>
          <w:rFonts w:cs="Arial"/>
          <w:b w:val="false"/>
          <w:bCs w:val="false"/>
        </w:rPr>
      </w:pPr>
      <w:r>
        <w:rPr>
          <w:rFonts w:cs="Arial"/>
          <w:b w:val="false"/>
          <w:bCs w:val="false"/>
        </w:rPr>
      </w:r>
    </w:p>
    <w:p>
      <w:pPr>
        <w:pStyle w:val="BodyText"/>
        <w:rPr>
          <w:rFonts w:cs="Arial"/>
        </w:rPr>
      </w:pPr>
      <w:r>
        <w:rPr>
          <w:rFonts w:cs="Arial"/>
          <w:b w:val="false"/>
          <w:bCs w:val="false"/>
        </w:rPr>
        <w:t>Response prepared by Eric R. Klinkner</w:t>
      </w:r>
    </w:p>
    <w:p>
      <w:pPr>
        <w:pStyle w:val="Header"/>
        <w:tabs>
          <w:tab w:val="clear" w:pos="4320"/>
          <w:tab w:val="clear" w:pos="9360"/>
        </w:tabs>
        <w:rPr>
          <w:rFonts w:cs="Arial"/>
          <w:szCs w:val="26"/>
        </w:rPr>
      </w:pPr>
      <w:r>
        <w:rPr>
          <w:rFonts w:cs="Arial"/>
          <w:szCs w:val="26"/>
        </w:rPr>
      </w:r>
    </w:p>
    <w:p>
      <w:pPr>
        <w:pStyle w:val="Normal"/>
        <w:rPr/>
      </w:pPr>
      <w:r>
        <w:rPr>
          <w:rFonts w:cs="Arial"/>
          <w:b/>
          <w:bCs/>
          <w:szCs w:val="26"/>
          <w:u w:val="single"/>
        </w:rPr>
        <w:t>STAFF/PAS-9</w:t>
      </w:r>
      <w:r>
        <w:rPr>
          <w:rFonts w:cs="Arial"/>
          <w:b/>
          <w:bCs/>
          <w:szCs w:val="26"/>
        </w:rPr>
        <w:t>:</w:t>
      </w:r>
    </w:p>
    <w:p>
      <w:pPr>
        <w:pStyle w:val="Normal"/>
        <w:rPr>
          <w:rFonts w:cs="Arial"/>
          <w:b/>
          <w:bCs/>
          <w:szCs w:val="26"/>
        </w:rPr>
      </w:pPr>
      <w:r>
        <w:rPr>
          <w:rFonts w:cs="Arial"/>
          <w:b/>
          <w:bCs/>
          <w:szCs w:val="26"/>
        </w:rPr>
      </w:r>
    </w:p>
    <w:p>
      <w:pPr>
        <w:pStyle w:val="Normal"/>
        <w:rPr>
          <w:rFonts w:cs="Arial"/>
          <w:szCs w:val="26"/>
        </w:rPr>
      </w:pPr>
      <w:r>
        <w:rPr>
          <w:rFonts w:cs="Arial"/>
          <w:szCs w:val="26"/>
        </w:rPr>
        <w:t>Prior to October 2000, did Pasadena sell its emission credits on the market?  If so, please provide evidence of how much they were sold for and for what period.</w:t>
      </w:r>
    </w:p>
    <w:p>
      <w:pPr>
        <w:pStyle w:val="Normal"/>
        <w:rPr>
          <w:rFonts w:cs="Arial"/>
          <w:szCs w:val="26"/>
        </w:rPr>
      </w:pPr>
      <w:r>
        <w:rPr>
          <w:rFonts w:cs="Arial"/>
          <w:szCs w:val="26"/>
        </w:rPr>
      </w:r>
    </w:p>
    <w:p>
      <w:pPr>
        <w:pStyle w:val="Heading1"/>
        <w:ind w:hanging="0" w:start="0"/>
        <w:rPr/>
      </w:pPr>
      <w:r>
        <w:rPr>
          <w:sz w:val="24"/>
          <w:u w:val="single"/>
        </w:rPr>
        <w:t>STAFF/PAS-9 RESPONSE</w:t>
      </w:r>
      <w:r>
        <w:rPr>
          <w:sz w:val="24"/>
        </w:rPr>
        <w:t>:</w:t>
      </w:r>
    </w:p>
    <w:p>
      <w:pPr>
        <w:pStyle w:val="Normal"/>
        <w:rPr>
          <w:rFonts w:cs="Arial"/>
          <w:sz w:val="24"/>
          <w:szCs w:val="26"/>
        </w:rPr>
      </w:pPr>
      <w:r>
        <w:rPr>
          <w:rFonts w:cs="Arial"/>
          <w:sz w:val="24"/>
          <w:szCs w:val="26"/>
        </w:rPr>
      </w:r>
    </w:p>
    <w:p>
      <w:pPr>
        <w:pStyle w:val="BodyText"/>
        <w:rPr>
          <w:rFonts w:cs="Arial"/>
          <w:b w:val="false"/>
          <w:bCs w:val="false"/>
        </w:rPr>
      </w:pPr>
      <w:r>
        <w:rPr>
          <w:rFonts w:cs="Arial"/>
          <w:b w:val="false"/>
          <w:bCs w:val="false"/>
        </w:rPr>
        <w:t>No.</w:t>
      </w:r>
    </w:p>
    <w:p>
      <w:pPr>
        <w:pStyle w:val="BodyText"/>
        <w:rPr>
          <w:rFonts w:cs="Arial"/>
          <w:b w:val="false"/>
          <w:bCs w:val="false"/>
        </w:rPr>
      </w:pPr>
      <w:r>
        <w:rPr>
          <w:rFonts w:cs="Arial"/>
          <w:b w:val="false"/>
          <w:bCs w:val="false"/>
        </w:rPr>
        <w:t>Response prepared by Eric R. Klinkner</w:t>
      </w:r>
    </w:p>
    <w:p>
      <w:pPr>
        <w:pStyle w:val="Normal"/>
        <w:rPr>
          <w:rFonts w:cs="Arial"/>
          <w:b/>
          <w:bCs/>
          <w:szCs w:val="26"/>
        </w:rPr>
      </w:pPr>
      <w:r>
        <w:rPr>
          <w:rFonts w:cs="Arial"/>
          <w:b/>
          <w:bCs/>
          <w:szCs w:val="26"/>
        </w:rPr>
      </w:r>
    </w:p>
    <w:p>
      <w:pPr>
        <w:pStyle w:val="Normal"/>
        <w:keepNext w:val="true"/>
        <w:rPr/>
      </w:pPr>
      <w:r>
        <w:rPr>
          <w:rFonts w:cs="Arial"/>
          <w:b/>
          <w:bCs/>
          <w:szCs w:val="26"/>
          <w:u w:val="single"/>
        </w:rPr>
        <w:t>STAFF/PAS-10</w:t>
      </w:r>
      <w:r>
        <w:rPr>
          <w:rFonts w:cs="Arial"/>
          <w:b/>
          <w:bCs/>
          <w:szCs w:val="26"/>
        </w:rPr>
        <w:t>:</w:t>
      </w:r>
    </w:p>
    <w:p>
      <w:pPr>
        <w:pStyle w:val="Normal"/>
        <w:keepNext w:val="true"/>
        <w:rPr>
          <w:rFonts w:cs="Arial"/>
          <w:b/>
          <w:bCs/>
          <w:szCs w:val="26"/>
        </w:rPr>
      </w:pPr>
      <w:r>
        <w:rPr>
          <w:rFonts w:cs="Arial"/>
          <w:b/>
          <w:bCs/>
          <w:szCs w:val="26"/>
        </w:rPr>
      </w:r>
    </w:p>
    <w:p>
      <w:pPr>
        <w:pStyle w:val="Normal"/>
        <w:rPr>
          <w:rFonts w:cs="Arial"/>
          <w:szCs w:val="26"/>
        </w:rPr>
      </w:pPr>
      <w:r>
        <w:rPr>
          <w:rFonts w:cs="Arial"/>
          <w:szCs w:val="26"/>
        </w:rPr>
        <w:t>Please provide a copy of the quarterly emission reports that Pasadena provided to the SCAQMD for the period 1998 to the present.</w:t>
      </w:r>
    </w:p>
    <w:p>
      <w:pPr>
        <w:pStyle w:val="Header"/>
        <w:tabs>
          <w:tab w:val="clear" w:pos="4320"/>
          <w:tab w:val="clear" w:pos="9360"/>
        </w:tabs>
        <w:rPr>
          <w:rFonts w:cs="Arial"/>
          <w:szCs w:val="26"/>
        </w:rPr>
      </w:pPr>
      <w:r>
        <w:rPr>
          <w:rFonts w:cs="Arial"/>
          <w:szCs w:val="26"/>
        </w:rPr>
      </w:r>
    </w:p>
    <w:p>
      <w:pPr>
        <w:pStyle w:val="Heading1"/>
        <w:ind w:hanging="0" w:start="0"/>
        <w:rPr/>
      </w:pPr>
      <w:r>
        <w:rPr>
          <w:sz w:val="24"/>
          <w:u w:val="single"/>
        </w:rPr>
        <w:t>STAFF/PAS-10 RESPONSE</w:t>
      </w:r>
      <w:r>
        <w:rPr>
          <w:sz w:val="24"/>
        </w:rPr>
        <w:t>:</w:t>
      </w:r>
    </w:p>
    <w:p>
      <w:pPr>
        <w:pStyle w:val="Normal"/>
        <w:rPr>
          <w:sz w:val="24"/>
        </w:rPr>
      </w:pPr>
      <w:r>
        <w:rPr>
          <w:sz w:val="24"/>
        </w:rPr>
      </w:r>
    </w:p>
    <w:p>
      <w:pPr>
        <w:pStyle w:val="BodyText"/>
        <w:spacing w:lineRule="auto" w:line="240"/>
        <w:rPr>
          <w:rFonts w:cs="Arial"/>
          <w:b w:val="false"/>
          <w:bCs w:val="false"/>
        </w:rPr>
      </w:pPr>
      <w:r>
        <w:rPr>
          <w:rFonts w:cs="Arial"/>
          <w:b w:val="false"/>
          <w:bCs w:val="false"/>
        </w:rPr>
        <w:t xml:space="preserve">As stated in STAFF/PAS-6, Pasadena did not participate in the RECLAIM emission trading market prior to June 2000. Pasadena was not required to file quarterly reports prior to June 23, 2000. </w:t>
      </w:r>
    </w:p>
    <w:p>
      <w:pPr>
        <w:pStyle w:val="BodyText"/>
        <w:spacing w:lineRule="auto" w:line="240"/>
        <w:rPr>
          <w:rFonts w:cs="Arial"/>
          <w:b w:val="false"/>
          <w:bCs w:val="false"/>
        </w:rPr>
      </w:pPr>
      <w:r>
        <w:rPr>
          <w:rFonts w:cs="Arial"/>
          <w:b w:val="false"/>
          <w:bCs w:val="false"/>
        </w:rPr>
      </w:r>
    </w:p>
    <w:p>
      <w:pPr>
        <w:pStyle w:val="BodyText"/>
        <w:spacing w:lineRule="auto" w:line="240"/>
        <w:rPr>
          <w:rFonts w:cs="Arial"/>
          <w:b w:val="false"/>
          <w:bCs w:val="false"/>
        </w:rPr>
      </w:pPr>
      <w:r>
        <w:rPr>
          <w:rFonts w:cs="Arial"/>
          <w:b w:val="false"/>
          <w:bCs w:val="false"/>
        </w:rPr>
        <w:t xml:space="preserve">See attached file, “PAS AQMD Quarterly.pdf.”  See also the attached file “PWP Emissions-Staff DR3.xls,” which includes the data supplied to the SCAQMD for Q2-2000 through Q3-2001. The Q2-2000 report includes prorated emissions values for June 23-30 only. </w:t>
      </w:r>
    </w:p>
    <w:p>
      <w:pPr>
        <w:pStyle w:val="BodyText"/>
        <w:spacing w:lineRule="auto" w:line="240"/>
        <w:rPr>
          <w:rFonts w:cs="Arial"/>
          <w:b w:val="false"/>
          <w:bCs w:val="false"/>
        </w:rPr>
      </w:pPr>
      <w:r>
        <w:rPr>
          <w:rFonts w:cs="Arial"/>
          <w:b w:val="false"/>
          <w:bCs w:val="false"/>
        </w:rPr>
      </w:r>
    </w:p>
    <w:p>
      <w:pPr>
        <w:pStyle w:val="BodyText"/>
        <w:rPr>
          <w:rFonts w:cs="Arial"/>
        </w:rPr>
      </w:pPr>
      <w:r>
        <w:rPr>
          <w:rFonts w:cs="Arial"/>
          <w:b w:val="false"/>
          <w:bCs w:val="false"/>
        </w:rPr>
        <w:t>Response prepared by Eric R. Klinkner</w:t>
      </w:r>
    </w:p>
    <w:p>
      <w:pPr>
        <w:pStyle w:val="Normal"/>
        <w:rPr>
          <w:rFonts w:cs="Arial"/>
          <w:szCs w:val="26"/>
        </w:rPr>
      </w:pPr>
      <w:r>
        <w:rPr>
          <w:rFonts w:cs="Arial"/>
          <w:szCs w:val="26"/>
        </w:rPr>
      </w:r>
    </w:p>
    <w:p>
      <w:pPr>
        <w:pStyle w:val="Normal"/>
        <w:rPr/>
      </w:pPr>
      <w:r>
        <w:rPr>
          <w:rFonts w:cs="Arial"/>
          <w:b/>
          <w:bCs/>
          <w:szCs w:val="26"/>
          <w:u w:val="single"/>
        </w:rPr>
        <w:t>STAFF/PAS-11</w:t>
      </w:r>
      <w:r>
        <w:rPr>
          <w:rFonts w:cs="Arial"/>
          <w:b/>
          <w:bCs/>
          <w:szCs w:val="26"/>
        </w:rPr>
        <w:t>:</w:t>
      </w:r>
    </w:p>
    <w:p>
      <w:pPr>
        <w:pStyle w:val="Normal"/>
        <w:rPr>
          <w:rFonts w:cs="Arial"/>
          <w:b/>
          <w:bCs/>
          <w:szCs w:val="26"/>
        </w:rPr>
      </w:pPr>
      <w:r>
        <w:rPr>
          <w:rFonts w:cs="Arial"/>
          <w:b/>
          <w:bCs/>
          <w:szCs w:val="26"/>
        </w:rPr>
      </w:r>
    </w:p>
    <w:p>
      <w:pPr>
        <w:pStyle w:val="Normal"/>
        <w:rPr>
          <w:rFonts w:cs="Arial"/>
          <w:szCs w:val="26"/>
        </w:rPr>
      </w:pPr>
      <w:r>
        <w:rPr>
          <w:rFonts w:cs="Arial"/>
          <w:szCs w:val="26"/>
        </w:rPr>
        <w:t>What is the basis for Mr. Klinkner's statement that the generation output and emissions from the GTs during the refund period were solely attributable to sales of energy to the ISO?  Please provide all supporting documentation for this assertion.</w:t>
      </w:r>
    </w:p>
    <w:p>
      <w:pPr>
        <w:pStyle w:val="Normal"/>
        <w:rPr>
          <w:rFonts w:cs="Arial"/>
          <w:szCs w:val="26"/>
        </w:rPr>
      </w:pPr>
      <w:r>
        <w:rPr>
          <w:rFonts w:cs="Arial"/>
          <w:szCs w:val="26"/>
        </w:rPr>
      </w:r>
    </w:p>
    <w:p>
      <w:pPr>
        <w:pStyle w:val="Heading1"/>
        <w:ind w:hanging="0" w:start="0"/>
        <w:rPr/>
      </w:pPr>
      <w:r>
        <w:rPr>
          <w:sz w:val="24"/>
          <w:u w:val="single"/>
        </w:rPr>
        <w:t>STAFF/PAS-11 RESPONSE</w:t>
      </w:r>
      <w:r>
        <w:rPr>
          <w:sz w:val="24"/>
        </w:rPr>
        <w:t>:</w:t>
      </w:r>
    </w:p>
    <w:p>
      <w:pPr>
        <w:pStyle w:val="Header"/>
        <w:tabs>
          <w:tab w:val="clear" w:pos="4320"/>
          <w:tab w:val="clear" w:pos="9360"/>
        </w:tabs>
        <w:rPr>
          <w:rFonts w:cs="Arial"/>
          <w:sz w:val="24"/>
          <w:szCs w:val="26"/>
        </w:rPr>
      </w:pPr>
      <w:r>
        <w:rPr>
          <w:rFonts w:cs="Arial"/>
          <w:sz w:val="24"/>
          <w:szCs w:val="26"/>
        </w:rPr>
      </w:r>
    </w:p>
    <w:p>
      <w:pPr>
        <w:pStyle w:val="BodyText"/>
        <w:spacing w:lineRule="auto" w:line="240"/>
        <w:rPr>
          <w:rFonts w:cs="Arial"/>
          <w:b w:val="false"/>
          <w:bCs w:val="false"/>
        </w:rPr>
      </w:pPr>
      <w:r>
        <w:rPr>
          <w:rFonts w:cs="Arial"/>
          <w:b w:val="false"/>
          <w:bCs w:val="false"/>
        </w:rPr>
        <w:t>There is no known documentation to directly support this operational fact; however, ISO energy schedule and ancillary service records would show that the gas turbines are always scheduled at zero MW, almost always (with very few minor exceptions) have 100% of their capacity bid into the ancillary service and/or supplemental energy markets, and have a relatively good record of capacity availability and ISO energy dispatch compliance. Because these units are relatively inefficient and high emissions, Pasadena does not run them unless called upon by the ISO.</w:t>
      </w:r>
    </w:p>
    <w:p>
      <w:pPr>
        <w:pStyle w:val="BodyText"/>
        <w:spacing w:lineRule="auto" w:line="240"/>
        <w:rPr>
          <w:rFonts w:cs="Arial"/>
          <w:b w:val="false"/>
          <w:bCs w:val="false"/>
        </w:rPr>
      </w:pPr>
      <w:r>
        <w:rPr>
          <w:rFonts w:cs="Arial"/>
          <w:b w:val="false"/>
          <w:bCs w:val="false"/>
        </w:rPr>
      </w:r>
    </w:p>
    <w:p>
      <w:pPr>
        <w:pStyle w:val="BodyText"/>
        <w:rPr>
          <w:rFonts w:cs="Arial"/>
        </w:rPr>
      </w:pPr>
      <w:r>
        <w:rPr>
          <w:rFonts w:cs="Arial"/>
          <w:b w:val="false"/>
          <w:bCs w:val="false"/>
        </w:rPr>
        <w:t>Response prepared by Eric R. Klinkner</w:t>
      </w:r>
    </w:p>
    <w:p>
      <w:pPr>
        <w:pStyle w:val="Normal"/>
        <w:rPr>
          <w:rFonts w:cs="Arial"/>
          <w:szCs w:val="26"/>
        </w:rPr>
      </w:pPr>
      <w:r>
        <w:rPr>
          <w:rFonts w:cs="Arial"/>
          <w:szCs w:val="26"/>
        </w:rPr>
      </w:r>
    </w:p>
    <w:p>
      <w:pPr>
        <w:pStyle w:val="Normal"/>
        <w:rPr/>
      </w:pPr>
      <w:r>
        <w:rPr>
          <w:rFonts w:cs="Arial"/>
          <w:b/>
          <w:bCs/>
          <w:szCs w:val="26"/>
          <w:u w:val="single"/>
        </w:rPr>
        <w:t>STAFF/PAS-12</w:t>
      </w:r>
      <w:r>
        <w:rPr>
          <w:rFonts w:cs="Arial"/>
          <w:b/>
          <w:bCs/>
          <w:szCs w:val="26"/>
        </w:rPr>
        <w:t>:</w:t>
      </w:r>
    </w:p>
    <w:p>
      <w:pPr>
        <w:pStyle w:val="Normal"/>
        <w:rPr>
          <w:rFonts w:cs="Arial"/>
          <w:b/>
          <w:bCs/>
          <w:szCs w:val="26"/>
        </w:rPr>
      </w:pPr>
      <w:r>
        <w:rPr>
          <w:rFonts w:cs="Arial"/>
          <w:b/>
          <w:bCs/>
          <w:szCs w:val="26"/>
        </w:rPr>
      </w:r>
    </w:p>
    <w:p>
      <w:pPr>
        <w:pStyle w:val="Normal"/>
        <w:rPr/>
      </w:pPr>
      <w:r>
        <w:rPr>
          <w:rFonts w:cs="Arial"/>
        </w:rPr>
        <w:t xml:space="preserve">Please provide a breakdown of the prices that were used in deriving Pasadena's  opportunity costs associated with </w:t>
      </w:r>
      <w:r>
        <w:rPr>
          <w:rFonts w:cs="Arial"/>
          <w:szCs w:val="26"/>
        </w:rPr>
        <w:t>emission</w:t>
      </w:r>
      <w:r>
        <w:rPr>
          <w:rFonts w:cs="Arial"/>
        </w:rPr>
        <w:t xml:space="preserve"> costs.</w:t>
      </w:r>
      <w:r>
        <w:rPr>
          <w:rFonts w:cs="Arial"/>
          <w:szCs w:val="26"/>
        </w:rPr>
        <w:tab/>
      </w:r>
    </w:p>
    <w:p>
      <w:pPr>
        <w:pStyle w:val="Normal"/>
        <w:rPr>
          <w:rFonts w:cs="Arial"/>
          <w:szCs w:val="26"/>
        </w:rPr>
      </w:pPr>
      <w:r>
        <w:rPr>
          <w:rFonts w:cs="Arial"/>
          <w:szCs w:val="26"/>
        </w:rPr>
      </w:r>
    </w:p>
    <w:p>
      <w:pPr>
        <w:pStyle w:val="Heading1"/>
        <w:ind w:hanging="0" w:start="0"/>
        <w:rPr/>
      </w:pPr>
      <w:r>
        <w:rPr>
          <w:sz w:val="24"/>
          <w:u w:val="single"/>
        </w:rPr>
        <w:t>STAFF/PAS-12 RESPONSE</w:t>
      </w:r>
      <w:r>
        <w:rPr>
          <w:sz w:val="24"/>
        </w:rPr>
        <w:t>:</w:t>
      </w:r>
    </w:p>
    <w:p>
      <w:pPr>
        <w:pStyle w:val="Normal"/>
        <w:rPr>
          <w:rFonts w:cs="Arial"/>
          <w:sz w:val="24"/>
          <w:szCs w:val="26"/>
        </w:rPr>
      </w:pPr>
      <w:r>
        <w:rPr>
          <w:rFonts w:cs="Arial"/>
          <w:sz w:val="24"/>
          <w:szCs w:val="26"/>
        </w:rPr>
      </w:r>
    </w:p>
    <w:p>
      <w:pPr>
        <w:pStyle w:val="BodyText"/>
        <w:spacing w:lineRule="auto" w:line="240"/>
        <w:rPr>
          <w:rFonts w:cs="Arial"/>
          <w:b w:val="false"/>
          <w:bCs w:val="false"/>
        </w:rPr>
      </w:pPr>
      <w:r>
        <w:rPr>
          <w:rFonts w:cs="Arial"/>
          <w:b w:val="false"/>
          <w:bCs w:val="false"/>
        </w:rPr>
        <w:t>Emissions credits were priced at the average cost of emissions credits purchased by Pasadena for the respective compliance years:  $47.15/lb in 2000,  $47.62/lb in 2001 .</w:t>
      </w:r>
    </w:p>
    <w:p>
      <w:pPr>
        <w:pStyle w:val="BodyText"/>
        <w:spacing w:lineRule="auto" w:line="240"/>
        <w:rPr>
          <w:rFonts w:cs="Arial"/>
          <w:b w:val="false"/>
          <w:bCs w:val="false"/>
        </w:rPr>
      </w:pPr>
      <w:r>
        <w:rPr>
          <w:rFonts w:cs="Arial"/>
          <w:b w:val="false"/>
          <w:bCs w:val="false"/>
        </w:rPr>
      </w:r>
    </w:p>
    <w:p>
      <w:pPr>
        <w:pStyle w:val="BodyText"/>
        <w:rPr>
          <w:rFonts w:cs="Arial"/>
          <w:b w:val="false"/>
          <w:bCs w:val="false"/>
        </w:rPr>
      </w:pPr>
      <w:r>
        <w:rPr>
          <w:rFonts w:cs="Arial"/>
          <w:b w:val="false"/>
          <w:bCs w:val="false"/>
        </w:rPr>
        <w:t>Response prepared by Eric R. Klinkner</w:t>
      </w:r>
    </w:p>
    <w:p>
      <w:pPr>
        <w:pStyle w:val="Normal"/>
        <w:rPr>
          <w:rFonts w:cs="Arial"/>
          <w:b/>
          <w:bCs/>
          <w:szCs w:val="26"/>
        </w:rPr>
      </w:pPr>
      <w:r>
        <w:rPr>
          <w:rFonts w:cs="Arial"/>
          <w:b/>
          <w:bCs/>
          <w:szCs w:val="26"/>
        </w:rPr>
      </w:r>
      <w:r>
        <w:br w:type="page"/>
      </w:r>
    </w:p>
    <w:p>
      <w:pPr>
        <w:pStyle w:val="Normal"/>
        <w:rPr/>
      </w:pPr>
      <w:r>
        <w:rPr>
          <w:rFonts w:cs="Arial"/>
          <w:b/>
          <w:bCs/>
          <w:szCs w:val="26"/>
          <w:u w:val="single"/>
        </w:rPr>
        <w:t>STAFF/PAS-13</w:t>
      </w:r>
      <w:r>
        <w:rPr>
          <w:rFonts w:cs="Arial"/>
          <w:b/>
          <w:bCs/>
          <w:szCs w:val="26"/>
        </w:rPr>
        <w:t>:</w:t>
      </w:r>
    </w:p>
    <w:p>
      <w:pPr>
        <w:pStyle w:val="Normal"/>
        <w:rPr>
          <w:rFonts w:cs="Arial"/>
          <w:b/>
          <w:bCs/>
          <w:szCs w:val="26"/>
        </w:rPr>
      </w:pPr>
      <w:r>
        <w:rPr>
          <w:rFonts w:cs="Arial"/>
          <w:b/>
          <w:bCs/>
          <w:szCs w:val="26"/>
        </w:rPr>
      </w:r>
    </w:p>
    <w:p>
      <w:pPr>
        <w:pStyle w:val="Normal"/>
        <w:rPr/>
      </w:pPr>
      <w:r>
        <w:rPr>
          <w:rFonts w:cs="Arial"/>
        </w:rPr>
        <w:t xml:space="preserve">Please provide the month-end balances of Pasadena's total RTCs for each month from December 1998 through the present, broken down by generating unit or plant as applicable, and by </w:t>
      </w:r>
      <w:r>
        <w:rPr>
          <w:rFonts w:cs="Arial"/>
          <w:szCs w:val="26"/>
        </w:rPr>
        <w:t>vintage</w:t>
      </w:r>
      <w:r>
        <w:rPr>
          <w:rFonts w:cs="Arial"/>
        </w:rPr>
        <w:t xml:space="preserve"> and cycle.  For each calendar year during this period, also provide the approximate date on which the initial allocation of each of the above sub-categories of RTCs for that year was used.</w:t>
      </w:r>
    </w:p>
    <w:p>
      <w:pPr>
        <w:pStyle w:val="Normal"/>
        <w:rPr>
          <w:rFonts w:cs="Arial"/>
        </w:rPr>
      </w:pPr>
      <w:r>
        <w:rPr>
          <w:rFonts w:cs="Arial"/>
        </w:rPr>
      </w:r>
    </w:p>
    <w:p>
      <w:pPr>
        <w:pStyle w:val="Heading1"/>
        <w:ind w:hanging="0" w:start="0"/>
        <w:rPr/>
      </w:pPr>
      <w:r>
        <w:rPr>
          <w:sz w:val="24"/>
          <w:u w:val="single"/>
        </w:rPr>
        <w:t>STAFF/PAS-13 RESPONSE</w:t>
      </w:r>
      <w:r>
        <w:rPr>
          <w:sz w:val="24"/>
        </w:rPr>
        <w:t>:</w:t>
      </w:r>
    </w:p>
    <w:p>
      <w:pPr>
        <w:pStyle w:val="Normal"/>
        <w:rPr>
          <w:sz w:val="24"/>
        </w:rPr>
      </w:pPr>
      <w:r>
        <w:rPr>
          <w:sz w:val="24"/>
        </w:rPr>
      </w:r>
    </w:p>
    <w:p>
      <w:pPr>
        <w:pStyle w:val="BodyText"/>
        <w:spacing w:lineRule="auto" w:line="240"/>
        <w:rPr>
          <w:rFonts w:cs="Arial"/>
          <w:b w:val="false"/>
          <w:bCs w:val="false"/>
        </w:rPr>
      </w:pPr>
      <w:r>
        <w:rPr>
          <w:rFonts w:cs="Arial"/>
          <w:b w:val="false"/>
          <w:bCs w:val="false"/>
        </w:rPr>
        <w:t xml:space="preserve">As stated in STAFF/PAS-6, Pasadena did not participate in the RECLAIM emission trading market prior to June 2000. </w:t>
      </w:r>
    </w:p>
    <w:p>
      <w:pPr>
        <w:pStyle w:val="BodyText"/>
        <w:spacing w:lineRule="auto" w:line="240"/>
        <w:rPr>
          <w:rFonts w:cs="Arial"/>
          <w:b w:val="false"/>
          <w:bCs w:val="false"/>
        </w:rPr>
      </w:pPr>
      <w:r>
        <w:rPr>
          <w:rFonts w:cs="Arial"/>
          <w:b w:val="false"/>
          <w:bCs w:val="false"/>
        </w:rPr>
      </w:r>
    </w:p>
    <w:p>
      <w:pPr>
        <w:pStyle w:val="BodyText"/>
        <w:spacing w:lineRule="auto" w:line="240"/>
        <w:rPr>
          <w:rFonts w:cs="Arial"/>
          <w:b w:val="false"/>
          <w:bCs w:val="false"/>
        </w:rPr>
      </w:pPr>
      <w:r>
        <w:rPr>
          <w:rFonts w:cs="Arial"/>
          <w:b w:val="false"/>
          <w:bCs w:val="false"/>
        </w:rPr>
        <w:t xml:space="preserve">The attached file “PWP Emissions-Staff DR3.xls” includes month-end balances from June 2000 through October 2001. </w:t>
      </w:r>
    </w:p>
    <w:p>
      <w:pPr>
        <w:pStyle w:val="BodyText"/>
        <w:spacing w:lineRule="auto" w:line="240"/>
        <w:rPr>
          <w:rFonts w:cs="Arial"/>
          <w:b w:val="false"/>
          <w:bCs w:val="false"/>
        </w:rPr>
      </w:pPr>
      <w:r>
        <w:rPr>
          <w:rFonts w:cs="Arial"/>
          <w:b w:val="false"/>
          <w:bCs w:val="false"/>
        </w:rPr>
      </w:r>
    </w:p>
    <w:p>
      <w:pPr>
        <w:pStyle w:val="BodyText"/>
        <w:rPr>
          <w:rFonts w:cs="Arial"/>
          <w:b w:val="false"/>
          <w:bCs w:val="false"/>
        </w:rPr>
      </w:pPr>
      <w:r>
        <w:rPr>
          <w:rFonts w:cs="Arial"/>
          <w:b w:val="false"/>
          <w:bCs w:val="false"/>
        </w:rPr>
        <w:t>Response prepared by Eric R. Klinkner</w:t>
      </w:r>
    </w:p>
    <w:p>
      <w:pPr>
        <w:pStyle w:val="Normal"/>
        <w:rPr>
          <w:rFonts w:cs="Arial"/>
          <w:b/>
          <w:bCs/>
          <w:szCs w:val="26"/>
        </w:rPr>
      </w:pPr>
      <w:r>
        <w:rPr>
          <w:rFonts w:cs="Arial"/>
          <w:b/>
          <w:bCs/>
          <w:szCs w:val="26"/>
        </w:rPr>
      </w:r>
    </w:p>
    <w:p>
      <w:pPr>
        <w:pStyle w:val="Normal"/>
        <w:rPr>
          <w:rFonts w:cs="Arial"/>
          <w:szCs w:val="26"/>
        </w:rPr>
      </w:pPr>
      <w:r>
        <w:rPr>
          <w:rFonts w:cs="Arial"/>
          <w:b/>
          <w:bCs/>
          <w:szCs w:val="26"/>
          <w:u w:val="single"/>
        </w:rPr>
        <w:t>STAFF/PAS-14</w:t>
      </w:r>
      <w:r>
        <w:rPr>
          <w:rFonts w:cs="Arial"/>
          <w:b/>
          <w:bCs/>
          <w:szCs w:val="26"/>
        </w:rPr>
        <w:t>:</w:t>
      </w:r>
    </w:p>
    <w:p>
      <w:pPr>
        <w:pStyle w:val="Normal"/>
        <w:rPr>
          <w:rFonts w:cs="Arial"/>
          <w:szCs w:val="26"/>
        </w:rPr>
      </w:pPr>
      <w:r>
        <w:rPr>
          <w:rFonts w:cs="Arial"/>
          <w:szCs w:val="26"/>
        </w:rPr>
      </w:r>
    </w:p>
    <w:p>
      <w:pPr>
        <w:pStyle w:val="BodyText"/>
        <w:spacing w:lineRule="auto" w:line="240"/>
        <w:rPr>
          <w:rFonts w:cs="Arial"/>
          <w:b w:val="false"/>
          <w:bCs w:val="false"/>
        </w:rPr>
      </w:pPr>
      <w:r>
        <w:rPr>
          <w:rFonts w:cs="Arial"/>
          <w:b w:val="false"/>
          <w:bCs w:val="false"/>
        </w:rPr>
        <w:t>Please provide the monthly RMR MWH of generation from each RMR unit from January 1, 2000 through June 20, 2001, and the associated dollars of NOx and other emissions compensation paid (or owing as the case may be) by the ISO to Pasadena for such RMR-generation-related MWH.</w:t>
      </w:r>
    </w:p>
    <w:p>
      <w:pPr>
        <w:pStyle w:val="BodyText"/>
        <w:spacing w:lineRule="auto" w:line="240"/>
        <w:rPr>
          <w:rFonts w:cs="Arial"/>
          <w:b w:val="false"/>
          <w:bCs w:val="false"/>
        </w:rPr>
      </w:pPr>
      <w:r>
        <w:rPr>
          <w:rFonts w:cs="Arial"/>
          <w:b w:val="false"/>
          <w:bCs w:val="false"/>
        </w:rPr>
      </w:r>
    </w:p>
    <w:p>
      <w:pPr>
        <w:pStyle w:val="Heading1"/>
        <w:ind w:hanging="0" w:start="0"/>
        <w:rPr/>
      </w:pPr>
      <w:r>
        <w:rPr>
          <w:sz w:val="24"/>
          <w:u w:val="single"/>
        </w:rPr>
        <w:t>STAFF/PAS-14 RESPONSE</w:t>
      </w:r>
      <w:r>
        <w:rPr>
          <w:sz w:val="24"/>
        </w:rPr>
        <w:t>:</w:t>
      </w:r>
    </w:p>
    <w:p>
      <w:pPr>
        <w:pStyle w:val="Header"/>
        <w:tabs>
          <w:tab w:val="clear" w:pos="4320"/>
          <w:tab w:val="clear" w:pos="9360"/>
        </w:tabs>
        <w:rPr>
          <w:rFonts w:cs="Arial"/>
          <w:sz w:val="24"/>
        </w:rPr>
      </w:pPr>
      <w:r>
        <w:rPr>
          <w:rFonts w:cs="Arial"/>
          <w:sz w:val="24"/>
        </w:rPr>
      </w:r>
    </w:p>
    <w:p>
      <w:pPr>
        <w:pStyle w:val="BodyText"/>
        <w:rPr>
          <w:rFonts w:cs="Arial"/>
          <w:b w:val="false"/>
          <w:bCs w:val="false"/>
        </w:rPr>
      </w:pPr>
      <w:r>
        <w:rPr>
          <w:rFonts w:cs="Arial"/>
          <w:b w:val="false"/>
          <w:bCs w:val="false"/>
        </w:rPr>
        <w:t>Pasadena has no RMR units.</w:t>
      </w:r>
    </w:p>
    <w:p>
      <w:pPr>
        <w:pStyle w:val="BodyText"/>
        <w:rPr>
          <w:rFonts w:cs="Arial"/>
          <w:b w:val="false"/>
          <w:bCs w:val="false"/>
        </w:rPr>
      </w:pPr>
      <w:r>
        <w:rPr>
          <w:rFonts w:cs="Arial"/>
          <w:b w:val="false"/>
          <w:bCs w:val="false"/>
        </w:rPr>
        <w:t>Response prepared by Eric R. Klinkner</w:t>
      </w:r>
    </w:p>
    <w:p>
      <w:pPr>
        <w:pStyle w:val="Header"/>
        <w:tabs>
          <w:tab w:val="clear" w:pos="4320"/>
          <w:tab w:val="clear" w:pos="9360"/>
        </w:tabs>
        <w:rPr>
          <w:rFonts w:cs="Arial"/>
          <w:b/>
          <w:bCs/>
        </w:rPr>
      </w:pPr>
      <w:r>
        <w:rPr>
          <w:rFonts w:cs="Arial"/>
          <w:b/>
          <w:bCs/>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pPr>
      <w:r>
        <w:rPr/>
      </w:r>
    </w:p>
    <w:p>
      <w:pPr>
        <w:pStyle w:val="Header"/>
        <w:tabs>
          <w:tab w:val="clear" w:pos="4320"/>
          <w:tab w:val="clear" w:pos="9360"/>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/mnt/main-storage/datasets/enron-docs/doc/BLF1046.DOC</w:t>
      </w:r>
      <w:r>
        <w:rPr>
          <w:sz w:val="16"/>
        </w:rPr>
        <w:fldChar w:fldCharType="end"/>
      </w:r>
    </w:p>
    <w:sectPr>
      <w:headerReference w:type="default" r:id="rId2"/>
      <w:headerReference w:type="first" r:id="rId3"/>
      <w:type w:val="nextPage"/>
      <w:pgSz w:w="12240" w:h="15840"/>
      <w:pgMar w:left="1440" w:right="1440" w:gutter="0" w:header="720" w:top="776" w:footer="0" w:bottom="1152"/>
      <w:pgNumType w:fmt="decimal"/>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Docket Nos. EL00-95-045, </w:t>
    </w:r>
    <w:r>
      <w:rPr>
        <w:i/>
        <w:iCs/>
      </w:rPr>
      <w:t>et al.</w:t>
    </w:r>
    <w:r>
      <w:rPr/>
      <w:t xml:space="preserve"> </w:t>
      <w:tab/>
      <w:tab/>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pPr>
    <w:r>
      <w:rPr>
        <w:rStyle w:val="PageNumber"/>
      </w:rPr>
      <w:tab/>
      <w:tab/>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-68580</wp:posOffset>
              </wp:positionV>
              <wp:extent cx="5943600" cy="0"/>
              <wp:effectExtent l="0" t="19050" r="0" b="19050"/>
              <wp:wrapNone/>
              <wp:docPr id="3"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4pt" to="467.95pt,-5.4pt" stroked="t" o:allowincell="f" style="position:absolute">
              <v:stroke color="black" weight="3816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cs="Arial"/>
      <w:b/>
      <w:bCs/>
      <w:smallCaps/>
      <w:kern w:val="2"/>
      <w:sz w:val="28"/>
      <w:szCs w:val="32"/>
    </w:rPr>
  </w:style>
  <w:style w:type="paragraph" w:styleId="Heading2">
    <w:name w:val="heading 2"/>
    <w:basedOn w:val="Normal"/>
    <w:next w:val="Normal"/>
    <w:qFormat/>
    <w:pPr>
      <w:keepNext w:val="true"/>
      <w:numPr>
        <w:ilvl w:val="1"/>
        <w:numId w:val="1"/>
      </w:numPr>
      <w:ind w:firstLine="720" w:start="0" w:end="0"/>
      <w:outlineLvl w:val="1"/>
    </w:pPr>
    <w:rPr>
      <w:rFonts w:cs="Arial"/>
      <w:b/>
      <w:bCs/>
      <w:iCs/>
      <w:smallCaps/>
      <w:sz w:val="26"/>
      <w:szCs w:val="28"/>
    </w:rPr>
  </w:style>
  <w:style w:type="paragraph" w:styleId="Heading3">
    <w:name w:val="heading 3"/>
    <w:basedOn w:val="Normal"/>
    <w:next w:val="Normal"/>
    <w:qFormat/>
    <w:pPr>
      <w:keepNext w:val="true"/>
      <w:numPr>
        <w:ilvl w:val="2"/>
        <w:numId w:val="1"/>
      </w:numPr>
      <w:ind w:firstLine="1440" w:start="0" w:end="0"/>
      <w:outlineLvl w:val="2"/>
    </w:pPr>
    <w:rPr>
      <w:rFonts w:cs="Arial"/>
      <w:b/>
      <w:bCs/>
      <w:smallCaps/>
      <w:szCs w:val="26"/>
    </w:rPr>
  </w:style>
  <w:style w:type="paragraph" w:styleId="Heading4">
    <w:name w:val="heading 4"/>
    <w:basedOn w:val="Normal"/>
    <w:next w:val="Normal"/>
    <w:qFormat/>
    <w:pPr>
      <w:keepNext w:val="true"/>
      <w:numPr>
        <w:ilvl w:val="3"/>
        <w:numId w:val="1"/>
      </w:numPr>
      <w:spacing w:lineRule="auto" w:line="480"/>
      <w:outlineLvl w:val="3"/>
    </w:pPr>
    <w:rPr>
      <w:b/>
      <w:bCs/>
    </w:rPr>
  </w:style>
  <w:style w:type="paragraph" w:styleId="Heading5">
    <w:name w:val="heading 5"/>
    <w:basedOn w:val="Normal"/>
    <w:next w:val="Normal"/>
    <w:qFormat/>
    <w:pPr>
      <w:keepNext w:val="true"/>
      <w:numPr>
        <w:ilvl w:val="4"/>
        <w:numId w:val="1"/>
      </w:numPr>
      <w:spacing w:lineRule="auto" w:line="480"/>
      <w:jc w:val="center"/>
      <w:outlineLvl w:val="4"/>
    </w:pPr>
    <w:rPr>
      <w:b/>
      <w:bCs/>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tabs>
        <w:tab w:val="clear" w:pos="720"/>
        <w:tab w:val="center" w:pos="4680" w:leader="none"/>
        <w:tab w:val="right" w:pos="9360" w:leader="none"/>
      </w:tabs>
      <w:jc w:val="both"/>
      <w:outlineLvl w:val="6"/>
    </w:pPr>
    <w:rPr>
      <w:b/>
      <w:bCs/>
      <w:smallCaps/>
    </w:rPr>
  </w:style>
  <w:style w:type="paragraph" w:styleId="Heading8">
    <w:name w:val="heading 8"/>
    <w:basedOn w:val="Normal"/>
    <w:next w:val="Normal"/>
    <w:qFormat/>
    <w:pPr>
      <w:keepNext w:val="true"/>
      <w:numPr>
        <w:ilvl w:val="7"/>
        <w:numId w:val="1"/>
      </w:numPr>
      <w:tabs>
        <w:tab w:val="clear" w:pos="720"/>
        <w:tab w:val="center" w:pos="2160" w:leader="none"/>
        <w:tab w:val="center" w:pos="3240" w:leader="none"/>
      </w:tabs>
      <w:ind w:firstLine="720" w:start="0" w:end="0"/>
      <w:outlineLvl w:val="7"/>
    </w:pPr>
    <w:rPr>
      <w:b/>
      <w:bCs/>
    </w:rPr>
  </w:style>
  <w:style w:type="character" w:styleId="WW8Num4z0">
    <w:name w:val="WW8Num4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20"/>
      <w:u w:val="single"/>
      <w:vertAlign w:val="superscript"/>
    </w:rPr>
  </w:style>
  <w:style w:type="character" w:styleId="PageNumber">
    <w:name w:val="page number"/>
    <w:basedOn w:val="DefaultParagraphFont"/>
    <w:rPr>
      <w:rFonts w:ascii="Arial" w:hAnsi="Arial" w:cs="Arial"/>
      <w:sz w:val="24"/>
    </w:rPr>
  </w:style>
  <w:style w:type="character" w:styleId="LineNumber">
    <w:name w:val="line number"/>
    <w:basedOn w:val="DefaultParagraphFont"/>
    <w:rPr>
      <w:rFonts w:ascii="Arial" w:hAnsi="Arial" w:cs="Arial"/>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tabs>
        <w:tab w:val="clear" w:pos="720"/>
        <w:tab w:val="left" w:pos="432" w:leader="none"/>
      </w:tabs>
      <w:ind w:hanging="432" w:start="432"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style>
  <w:style w:type="paragraph" w:styleId="Subtitle">
    <w:name w:val="Subtitle"/>
    <w:basedOn w:val="Normal"/>
    <w:next w:val="BodyText"/>
    <w:qFormat/>
    <w:pPr>
      <w:jc w:val="center"/>
    </w:pPr>
    <w:rPr>
      <w:b/>
      <w:bCs/>
    </w:rPr>
  </w:style>
  <w:style w:type="paragraph" w:styleId="SectionBreakAnchor2">
    <w:name w:val="Section Break Anchor2"/>
    <w:basedOn w:val="Normal"/>
    <w:next w:val="BodyText"/>
    <w:qFormat/>
    <w:pPr>
      <w:autoSpaceDE w:val="false"/>
      <w:jc w:val="both"/>
    </w:pPr>
    <w:rPr>
      <w:rFonts w:ascii="Times New Roman" w:hAnsi="Times New Roman" w:cs="Times New Roman"/>
      <w:sz w:val="2"/>
      <w:szCs w:val="2"/>
    </w:rPr>
  </w:style>
  <w:style w:type="paragraph" w:styleId="ListNumber">
    <w:name w:val="List Number"/>
    <w:basedOn w:val="Normal"/>
    <w:qFormat/>
    <w:pPr>
      <w:autoSpaceDE w:val="false"/>
      <w:jc w:val="both"/>
    </w:pPr>
    <w:rPr>
      <w:rFonts w:ascii="Times New Roman" w:hAnsi="Times New Roman" w:cs="Times New Roman"/>
      <w:szCs w:val="24"/>
    </w:rPr>
  </w:style>
  <w:style w:type="paragraph" w:styleId="Response">
    <w:name w:val="Response"/>
    <w:basedOn w:val="Normal"/>
    <w:qFormat/>
    <w:pPr>
      <w:autoSpaceDE w:val="false"/>
      <w:ind w:hanging="0" w:start="360" w:end="0"/>
      <w:jc w:val="both"/>
    </w:pPr>
    <w:rPr>
      <w:rFonts w:ascii="Times New Roman" w:hAnsi="Times New Roman" w:cs="Times New Roman"/>
      <w:i/>
      <w:iCs/>
      <w:szCs w:val="24"/>
    </w:rPr>
  </w:style>
  <w:style w:type="paragraph" w:styleId="BodyTextIndent">
    <w:name w:val="Body Text Indent"/>
    <w:basedOn w:val="Normal"/>
    <w:pPr>
      <w:autoSpaceDE w:val="false"/>
      <w:ind w:hanging="0" w:start="720" w:end="0"/>
    </w:pPr>
    <w:rPr>
      <w:rFonts w:ascii="Times New Roman" w:hAnsi="Times New Roman" w:cs="Times New Roman"/>
      <w:sz w:val="26"/>
      <w:szCs w:val="26"/>
    </w:rPr>
  </w:style>
  <w:style w:type="paragraph" w:styleId="BodyText2">
    <w:name w:val="Body Text 2"/>
    <w:basedOn w:val="Normal"/>
    <w:qFormat/>
    <w:pPr/>
    <w:rPr>
      <w:sz w:val="26"/>
      <w:szCs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2001-11-30T12:27:00Z</dcterms:created>
  <dc:creator>James H. McGrew</dc:creator>
  <dc:description/>
  <dc:language>en-CA</dc:language>
  <cp:lastModifiedBy>blfetherolf</cp:lastModifiedBy>
  <cp:lastPrinted>2001-11-29T11:54:00Z</cp:lastPrinted>
  <dcterms:modified xsi:type="dcterms:W3CDTF">2001-11-30T12:27:00Z</dcterms:modified>
  <cp:revision>2</cp:revision>
  <dc:subject/>
  <dc:title>Staff-DR3 to PAS.DOC  (BLF1046.DOC;1)</dc:title>
</cp:coreProperties>
</file>