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drawing>
          <wp:inline distT="0" distB="0" distL="0" distR="0">
            <wp:extent cx="6658610" cy="1666875"/>
            <wp:effectExtent l="0" t="0" r="0" b="0"/>
            <wp:docPr id="1" name="bgmltrhead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mltrhead3" descr="" title=""/>
                    <pic:cNvPicPr>
                      <a:picLocks noChangeAspect="1" noChangeArrowheads="1"/>
                    </pic:cNvPicPr>
                  </pic:nvPicPr>
                  <pic:blipFill>
                    <a:blip r:embed="rId2"/>
                    <a:srcRect l="-2" t="-7" r="-2" b="-7"/>
                    <a:stretch>
                      <a:fillRect/>
                    </a:stretch>
                  </pic:blipFill>
                  <pic:spPr bwMode="auto">
                    <a:xfrm>
                      <a:off x="0" y="0"/>
                      <a:ext cx="6658610" cy="1666875"/>
                    </a:xfrm>
                    <a:prstGeom prst="rect">
                      <a:avLst/>
                    </a:prstGeom>
                    <a:noFill/>
                  </pic:spPr>
                </pic:pic>
              </a:graphicData>
            </a:graphic>
          </wp:inline>
        </w:drawing>
      </w:r>
    </w:p>
    <w:p>
      <w:pPr>
        <w:sectPr>
          <w:type w:val="nextPage"/>
          <w:pgSz w:w="12240" w:h="15840"/>
          <w:pgMar w:left="864" w:right="864" w:gutter="0" w:header="0" w:top="720" w:footer="0" w:bottom="1440"/>
          <w:pgNumType w:fmt="decimal"/>
          <w:formProt w:val="false"/>
          <w:textDirection w:val="lrTb"/>
          <w:docGrid w:type="default" w:linePitch="360" w:charSpace="0"/>
        </w:sectPr>
      </w:pPr>
    </w:p>
    <w:p>
      <w:pPr>
        <w:pStyle w:val="Normal"/>
        <w:jc w:val="center"/>
        <w:rPr>
          <w:rFonts w:ascii="Centaur" w:hAnsi="Centaur" w:cs="Centaur"/>
          <w:spacing w:val="30"/>
          <w:sz w:val="18"/>
        </w:rPr>
      </w:pPr>
      <w:r>
        <w:rPr>
          <w:rFonts w:cs="Centaur" w:ascii="Centaur" w:hAnsi="Centaur"/>
          <w:spacing w:val="30"/>
          <w:sz w:val="18"/>
        </w:rPr>
      </w:r>
    </w:p>
    <w:p>
      <w:pPr>
        <w:pStyle w:val="Normal"/>
        <w:jc w:val="center"/>
        <w:rPr>
          <w:rFonts w:ascii="Centaur" w:hAnsi="Centaur" w:cs="Centaur"/>
          <w:spacing w:val="30"/>
          <w:sz w:val="18"/>
        </w:rPr>
      </w:pPr>
      <w:r>
        <w:rPr>
          <w:rFonts w:cs="Centaur" w:ascii="Centaur" w:hAnsi="Centaur"/>
          <w:spacing w:val="30"/>
          <w:sz w:val="18"/>
        </w:rPr>
        <w:t>jhmcgrew@brudergentile.com</w:t>
      </w:r>
    </w:p>
    <w:p>
      <w:pPr>
        <w:pStyle w:val="Normal"/>
        <w:jc w:val="center"/>
        <w:rPr>
          <w:rFonts w:ascii="Centaur" w:hAnsi="Centaur" w:cs="Centaur"/>
          <w:spacing w:val="30"/>
          <w:sz w:val="18"/>
        </w:rPr>
      </w:pPr>
      <w:r>
        <w:rPr>
          <w:rFonts w:cs="Centaur" w:ascii="Centaur" w:hAnsi="Centaur"/>
          <w:spacing w:val="30"/>
          <w:sz w:val="18"/>
        </w:rPr>
      </w:r>
    </w:p>
    <w:p>
      <w:pPr>
        <w:pStyle w:val="Normal"/>
        <w:rPr>
          <w:sz w:val="18"/>
        </w:rPr>
      </w:pPr>
      <w:r>
        <w:rPr>
          <w:sz w:val="18"/>
        </w:rPr>
      </w:r>
    </w:p>
    <w:p>
      <w:pPr>
        <w:pStyle w:val="Normal"/>
        <w:jc w:val="center"/>
        <w:rPr>
          <w:rFonts w:cs="Arial"/>
        </w:rPr>
      </w:pPr>
      <w:r>
        <w:rPr>
          <w:rFonts w:cs="Arial"/>
        </w:rPr>
        <w:t>November 20, 2001</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t>The Honorable David P. Boergers</w:t>
      </w:r>
    </w:p>
    <w:p>
      <w:pPr>
        <w:pStyle w:val="Normal"/>
        <w:rPr>
          <w:rFonts w:cs="Arial"/>
        </w:rPr>
      </w:pPr>
      <w:r>
        <w:rPr>
          <w:rFonts w:cs="Arial"/>
        </w:rPr>
        <w:t>Secretary</w:t>
      </w:r>
    </w:p>
    <w:p>
      <w:pPr>
        <w:pStyle w:val="Normal"/>
        <w:rPr>
          <w:rFonts w:cs="Arial"/>
        </w:rPr>
      </w:pPr>
      <w:r>
        <w:rPr>
          <w:rFonts w:cs="Arial"/>
        </w:rPr>
        <w:t>Federal Energy Regulatory Commission</w:t>
      </w:r>
    </w:p>
    <w:p>
      <w:pPr>
        <w:pStyle w:val="Normal"/>
        <w:rPr>
          <w:rFonts w:cs="Arial"/>
        </w:rPr>
      </w:pPr>
      <w:r>
        <w:rPr>
          <w:rFonts w:cs="Arial"/>
        </w:rPr>
        <w:t>888 First Street, N.E.</w:t>
      </w:r>
    </w:p>
    <w:p>
      <w:pPr>
        <w:pStyle w:val="Header"/>
        <w:tabs>
          <w:tab w:val="clear" w:pos="4320"/>
          <w:tab w:val="right" w:pos="8640" w:leader="none"/>
        </w:tabs>
        <w:rPr>
          <w:rFonts w:cs="Arial"/>
        </w:rPr>
      </w:pPr>
      <w:r>
        <w:rPr>
          <w:rFonts w:cs="Arial"/>
        </w:rPr>
        <w:t>Washington, D.C. 20426</w:t>
      </w:r>
    </w:p>
    <w:p>
      <w:pPr>
        <w:pStyle w:val="Normal"/>
        <w:rPr>
          <w:rFonts w:cs="Arial"/>
        </w:rPr>
      </w:pPr>
      <w:r>
        <w:rPr>
          <w:rFonts w:cs="Arial"/>
        </w:rPr>
      </w:r>
    </w:p>
    <w:p>
      <w:pPr>
        <w:pStyle w:val="Normal"/>
        <w:ind w:firstLine="720" w:end="0"/>
        <w:rPr/>
      </w:pPr>
      <w:r>
        <w:rPr/>
        <w:t>Regarding:</w:t>
        <w:tab/>
        <w:t xml:space="preserve">San Diego Gas &amp; Electric Co., </w:t>
      </w:r>
      <w:r>
        <w:rPr>
          <w:i/>
          <w:iCs/>
        </w:rPr>
        <w:t>et al.</w:t>
      </w:r>
    </w:p>
    <w:p>
      <w:pPr>
        <w:pStyle w:val="Normal"/>
        <w:rPr/>
      </w:pPr>
      <w:r>
        <w:rPr/>
        <w:tab/>
        <w:tab/>
        <w:tab/>
        <w:t xml:space="preserve">Docket Nos. EL00-95-045, </w:t>
      </w:r>
      <w:r>
        <w:rPr>
          <w:i/>
          <w:iCs/>
        </w:rPr>
        <w:t>et al.</w:t>
      </w:r>
    </w:p>
    <w:p>
      <w:pPr>
        <w:pStyle w:val="Normal"/>
        <w:rPr/>
      </w:pPr>
      <w:r>
        <w:rPr/>
      </w:r>
    </w:p>
    <w:p>
      <w:pPr>
        <w:pStyle w:val="Normal"/>
        <w:rPr/>
      </w:pPr>
      <w:r>
        <w:rPr/>
        <w:t>Dear Mr. Boergers:</w:t>
      </w:r>
    </w:p>
    <w:p>
      <w:pPr>
        <w:pStyle w:val="Normal"/>
        <w:rPr/>
      </w:pPr>
      <w:r>
        <w:rPr/>
      </w:r>
    </w:p>
    <w:p>
      <w:pPr>
        <w:pStyle w:val="Normal"/>
        <w:rPr/>
      </w:pPr>
      <w:r>
        <w:rPr/>
        <w:tab/>
        <w:t xml:space="preserve">In response to Judge Birchman’s November 15, 2001 order, the City of Pasadena informs the Commission that no portion of the testimony of Eric R. Klinkner filed on November 6, 2001 was filed under seal.  The testimony and attached exhibits are not confidential.  </w:t>
      </w:r>
    </w:p>
    <w:p>
      <w:pPr>
        <w:pStyle w:val="Normal"/>
        <w:rPr/>
      </w:pPr>
      <w:r>
        <w:rPr/>
      </w:r>
    </w:p>
    <w:p>
      <w:pPr>
        <w:pStyle w:val="Normal"/>
        <w:rPr/>
      </w:pPr>
      <w:r>
        <w:rPr/>
        <w:tab/>
        <w:tab/>
        <w:tab/>
        <w:tab/>
        <w:tab/>
        <w:tab/>
        <w:tab/>
        <w:t>Very truly yours,</w:t>
      </w:r>
    </w:p>
    <w:p>
      <w:pPr>
        <w:pStyle w:val="Normal"/>
        <w:rPr/>
      </w:pPr>
      <w:r>
        <w:rPr/>
      </w:r>
    </w:p>
    <w:p>
      <w:pPr>
        <w:pStyle w:val="Normal"/>
        <w:rPr/>
      </w:pPr>
      <w:r>
        <w:rPr/>
      </w:r>
    </w:p>
    <w:p>
      <w:pPr>
        <w:pStyle w:val="Normal"/>
        <w:rPr/>
      </w:pPr>
      <w:r>
        <w:rPr/>
      </w:r>
    </w:p>
    <w:p>
      <w:pPr>
        <w:pStyle w:val="Normal"/>
        <w:rPr/>
      </w:pPr>
      <w:r>
        <w:rPr/>
        <w:tab/>
        <w:tab/>
        <w:tab/>
        <w:tab/>
        <w:tab/>
        <w:tab/>
        <w:tab/>
        <w:t>James H. McGrew</w:t>
      </w:r>
    </w:p>
    <w:p>
      <w:pPr>
        <w:pStyle w:val="Normal"/>
        <w:rPr/>
      </w:pPr>
      <w:r>
        <w:rPr/>
        <w:tab/>
        <w:tab/>
        <w:tab/>
        <w:tab/>
        <w:tab/>
        <w:tab/>
        <w:tab/>
        <w:t>Counsel for the City of Pasadena</w:t>
      </w:r>
    </w:p>
    <w:p>
      <w:pPr>
        <w:pStyle w:val="Normal"/>
        <w:rPr/>
      </w:pPr>
      <w:r>
        <w:rPr/>
      </w:r>
    </w:p>
    <w:p>
      <w:pPr>
        <w:pStyle w:val="Normal"/>
        <w:rPr/>
      </w:pPr>
      <w:r>
        <w:rPr/>
      </w:r>
    </w:p>
    <w:p>
      <w:pPr>
        <w:pStyle w:val="Normal"/>
        <w:rPr/>
      </w:pPr>
      <w:r>
        <w:rPr/>
      </w:r>
    </w:p>
    <w:p>
      <w:pPr>
        <w:pStyle w:val="Normal"/>
        <w:rPr/>
      </w:pPr>
      <w:r>
        <w:rPr/>
        <w:t>cc:</w:t>
        <w:tab/>
        <w:t>Presiding Administrative Law Judge Bruce L. Birchman</w:t>
      </w:r>
    </w:p>
    <w:p>
      <w:pPr>
        <w:pStyle w:val="Normal"/>
        <w:rPr/>
      </w:pPr>
      <w:r>
        <w:rPr/>
        <w:tab/>
        <w:t>All Participants by ListServ</w:t>
      </w:r>
    </w:p>
    <w:p>
      <w:pPr>
        <w:pStyle w:val="Normal"/>
        <w:rPr/>
      </w:pPr>
      <w:r>
        <w:rPr/>
      </w:r>
    </w:p>
    <w:p>
      <w:pPr>
        <w:pStyle w:val="Normal"/>
        <w:rPr/>
      </w:pPr>
      <w:r>
        <w:rPr/>
      </w:r>
    </w:p>
    <w:p>
      <w:pPr>
        <w:pStyle w:val="Normal"/>
        <w:rPr/>
      </w:pPr>
      <w:r>
        <w:rPr>
          <w:sz w:val="16"/>
        </w:rPr>
        <w:fldChar w:fldCharType="begin"/>
      </w:r>
      <w:r>
        <w:rPr>
          <w:sz w:val="16"/>
        </w:rPr>
        <w:instrText xml:space="preserve"> FILENAME \p </w:instrText>
      </w:r>
      <w:r>
        <w:rPr>
          <w:sz w:val="16"/>
        </w:rPr>
        <w:fldChar w:fldCharType="separate"/>
      </w:r>
      <w:r>
        <w:rPr>
          <w:sz w:val="16"/>
        </w:rPr>
        <w:t>/mnt/main-storage/datasets/enron-docs/doc/BLF1008.DOC</w:t>
      </w:r>
      <w:r>
        <w:rPr>
          <w:sz w:val="16"/>
        </w:rPr>
        <w:fldChar w:fldCharType="end"/>
      </w:r>
      <w:r>
        <w:rPr>
          <w:sz w:val="16"/>
        </w:rPr>
        <w:t>+</w:t>
      </w:r>
    </w:p>
    <w:p>
      <w:pPr>
        <w:sectPr>
          <w:type w:val="continuous"/>
          <w:pgSz w:w="12240" w:h="15840"/>
          <w:pgMar w:left="1440" w:right="1440" w:gutter="0" w:header="0" w:top="720" w:footer="0" w:bottom="1440"/>
          <w:formProt w:val="false"/>
          <w:textDirection w:val="lrTb"/>
          <w:docGrid w:type="default" w:linePitch="360" w:charSpace="0"/>
        </w:sectPr>
      </w:pPr>
    </w:p>
    <w:p>
      <w:pPr>
        <w:pStyle w:val="Normal"/>
        <w:rPr/>
      </w:pPr>
      <w:r>
        <w:rPr/>
      </w:r>
    </w:p>
    <w:p>
      <w:pPr>
        <w:pStyle w:val="Normal"/>
        <w:rPr/>
      </w:pPr>
      <w:r>
        <w:rPr/>
      </w:r>
    </w:p>
    <w:sectPr>
      <w:type w:val="continuous"/>
      <w:pgSz w:w="12240" w:h="15840"/>
      <w:pgMar w:left="1440" w:right="1440" w:gutter="0" w:header="0" w:top="72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aur">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cs="Arial"/>
      <w:b/>
      <w:bCs/>
      <w:smallCaps/>
      <w:kern w:val="2"/>
      <w:sz w:val="28"/>
      <w:szCs w:val="32"/>
    </w:rPr>
  </w:style>
  <w:style w:type="paragraph" w:styleId="Heading2">
    <w:name w:val="heading 2"/>
    <w:basedOn w:val="Normal"/>
    <w:next w:val="Normal"/>
    <w:qFormat/>
    <w:pPr>
      <w:keepNext w:val="true"/>
      <w:numPr>
        <w:ilvl w:val="1"/>
        <w:numId w:val="1"/>
      </w:numPr>
      <w:ind w:firstLine="720" w:start="0" w:end="0"/>
      <w:outlineLvl w:val="1"/>
    </w:pPr>
    <w:rPr>
      <w:rFonts w:cs="Arial"/>
      <w:b/>
      <w:bCs/>
      <w:iCs/>
      <w:smallCaps/>
      <w:sz w:val="26"/>
      <w:szCs w:val="28"/>
    </w:rPr>
  </w:style>
  <w:style w:type="paragraph" w:styleId="Heading3">
    <w:name w:val="heading 3"/>
    <w:basedOn w:val="Normal"/>
    <w:next w:val="Normal"/>
    <w:qFormat/>
    <w:pPr>
      <w:keepNext w:val="true"/>
      <w:numPr>
        <w:ilvl w:val="2"/>
        <w:numId w:val="1"/>
      </w:numPr>
      <w:ind w:firstLine="1440" w:start="0" w:end="0"/>
      <w:outlineLvl w:val="2"/>
    </w:pPr>
    <w:rPr>
      <w:rFonts w:cs="Arial"/>
      <w:b/>
      <w:bCs/>
      <w:smallCaps/>
      <w:szCs w:val="26"/>
    </w:rPr>
  </w:style>
  <w:style w:type="character" w:styleId="DefaultParagraphFont">
    <w:name w:val="Default Paragraph Font"/>
    <w:qFormat/>
    <w:rPr/>
  </w:style>
  <w:style w:type="character" w:styleId="PageNumber">
    <w:name w:val="page number"/>
    <w:basedOn w:val="DefaultParagraphFont"/>
    <w:rPr>
      <w:rFonts w:ascii="Arial" w:hAnsi="Arial" w:cs="Arial"/>
      <w:sz w:val="24"/>
    </w:rPr>
  </w:style>
  <w:style w:type="character" w:styleId="FootnoteCharacters">
    <w:name w:val="Footnote Characters"/>
    <w:basedOn w:val="DefaultParagraphFont"/>
    <w:qFormat/>
    <w:rPr>
      <w:rFonts w:ascii="Arial" w:hAnsi="Arial" w:cs="Arial"/>
      <w:sz w:val="20"/>
      <w:u w:val="single"/>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tabs>
        <w:tab w:val="clear" w:pos="720"/>
        <w:tab w:val="left" w:pos="432" w:leader="none"/>
      </w:tabs>
      <w:ind w:hanging="432" w:start="432" w:end="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LetterHead</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2001-11-20T17:07:00Z</dcterms:created>
  <dc:creator>blfetherolf</dc:creator>
  <dc:description/>
  <dc:language>en-CA</dc:language>
  <cp:lastModifiedBy>blfetherolf</cp:lastModifiedBy>
  <cp:lastPrinted>2001-11-20T12:48:00Z</cp:lastPrinted>
  <dcterms:modified xsi:type="dcterms:W3CDTF">2001-11-20T17:07:00Z</dcterms:modified>
  <cp:revision>2</cp:revision>
  <dc:subject/>
  <dc:title>Ltr to Boergers re 11-6 Klinkner testimony  (BLF1008.DOC;1)</dc:title>
</cp:coreProperties>
</file>