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350" w:leader="none"/>
        </w:tabs>
        <w:rPr/>
      </w:pPr>
      <w:r>
        <w:rPr/>
      </w:r>
    </w:p>
    <w:p>
      <w:pPr>
        <w:pStyle w:val="Normal"/>
        <w:tabs>
          <w:tab w:val="clear" w:pos="720"/>
          <w:tab w:val="right" w:pos="9350" w:leader="none"/>
        </w:tabs>
        <w:rPr/>
      </w:pPr>
      <w:r>
        <w:rPr/>
      </w:r>
    </w:p>
    <w:p>
      <w:pPr>
        <w:pStyle w:val="Normal"/>
        <w:tabs>
          <w:tab w:val="clear" w:pos="720"/>
          <w:tab w:val="right" w:pos="9350" w:leader="none"/>
        </w:tabs>
        <w:rPr/>
      </w:pPr>
      <w:r>
        <w:rPr/>
      </w:r>
    </w:p>
    <w:p>
      <w:pPr>
        <w:pStyle w:val="Normal"/>
        <w:tabs>
          <w:tab w:val="clear" w:pos="720"/>
          <w:tab w:val="right" w:pos="9350" w:leader="none"/>
        </w:tabs>
        <w:rPr/>
      </w:pPr>
      <w:r>
        <w:rPr/>
      </w:r>
    </w:p>
    <w:p>
      <w:pPr>
        <w:pStyle w:val="Normal"/>
        <w:tabs>
          <w:tab w:val="clear" w:pos="720"/>
          <w:tab w:val="right" w:pos="9350" w:leader="none"/>
        </w:tabs>
        <w:rPr/>
      </w:pPr>
      <w:r>
        <w:rPr/>
      </w:r>
    </w:p>
    <w:p>
      <w:pPr>
        <w:pStyle w:val="Normal"/>
        <w:tabs>
          <w:tab w:val="clear" w:pos="720"/>
          <w:tab w:val="right" w:pos="9350" w:leader="none"/>
        </w:tabs>
        <w:rPr/>
      </w:pPr>
      <w:r>
        <w:rPr/>
      </w:r>
    </w:p>
    <w:p>
      <w:pPr>
        <w:pStyle w:val="Normal"/>
        <w:tabs>
          <w:tab w:val="clear" w:pos="720"/>
          <w:tab w:val="right" w:pos="9350" w:leader="none"/>
        </w:tabs>
        <w:rPr/>
      </w:pPr>
      <w:r>
        <w:rPr/>
      </w:r>
    </w:p>
    <w:p>
      <w:pPr>
        <w:pStyle w:val="Normal"/>
        <w:tabs>
          <w:tab w:val="clear" w:pos="720"/>
          <w:tab w:val="right" w:pos="9350" w:leader="none"/>
        </w:tabs>
        <w:rPr/>
      </w:pPr>
      <w:r>
        <w:rPr/>
      </w:r>
    </w:p>
    <w:p>
      <w:pPr>
        <w:pStyle w:val="Normal"/>
        <w:tabs>
          <w:tab w:val="clear" w:pos="720"/>
          <w:tab w:val="right" w:pos="9350" w:leader="none"/>
        </w:tabs>
        <w:rPr/>
      </w:pPr>
      <w:r>
        <w:rPr/>
      </w:r>
    </w:p>
    <w:p>
      <w:pPr>
        <w:pStyle w:val="Normal"/>
        <w:tabs>
          <w:tab w:val="clear" w:pos="720"/>
          <w:tab w:val="right" w:pos="9350" w:leader="none"/>
        </w:tabs>
        <w:rPr/>
      </w:pPr>
      <w:r>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rFonts w:ascii="Centaur" w:hAnsi="Centaur" w:cs="Centaur"/>
          <w:spacing w:val="30"/>
          <w:sz w:val="18"/>
        </w:rPr>
      </w:pPr>
      <w:r>
        <w:rPr>
          <w:rFonts w:cs="Centaur" w:ascii="Centaur" w:hAnsi="Centaur"/>
          <w:spacing w:val="30"/>
          <w:sz w:val="18"/>
        </w:rPr>
        <w:t>jhmcgrew@brudergentile.com</w:t>
      </w:r>
    </w:p>
    <w:p>
      <w:pPr>
        <w:pStyle w:val="Normal"/>
        <w:jc w:val="center"/>
        <w:rPr>
          <w:rFonts w:ascii="Centaur" w:hAnsi="Centaur" w:cs="Arial"/>
          <w:spacing w:val="30"/>
          <w:sz w:val="18"/>
        </w:rPr>
      </w:pPr>
      <w:r>
        <w:rPr>
          <w:rFonts w:cs="Arial" w:ascii="Centaur" w:hAnsi="Centaur"/>
          <w:spacing w:val="30"/>
          <w:sz w:val="18"/>
        </w:rPr>
      </w:r>
    </w:p>
    <w:p>
      <w:pPr>
        <w:pStyle w:val="Normal"/>
        <w:jc w:val="center"/>
        <w:rPr>
          <w:rFonts w:cs="Arial"/>
        </w:rPr>
      </w:pPr>
      <w:r>
        <w:rPr>
          <w:rFonts w:cs="Arial"/>
        </w:rPr>
        <w:t>October 31, 2001</w:t>
      </w:r>
    </w:p>
    <w:p>
      <w:pPr>
        <w:pStyle w:val="Normal"/>
        <w:rPr>
          <w:rFonts w:cs="Arial"/>
        </w:rPr>
      </w:pPr>
      <w:r>
        <w:rPr>
          <w:rFonts w:cs="Arial"/>
        </w:rPr>
      </w:r>
    </w:p>
    <w:p>
      <w:pPr>
        <w:pStyle w:val="Normal"/>
        <w:rPr>
          <w:rFonts w:cs="Arial"/>
        </w:rPr>
      </w:pPr>
      <w:r>
        <w:rPr>
          <w:rFonts w:cs="Arial"/>
        </w:rPr>
      </w:r>
    </w:p>
    <w:p>
      <w:pPr>
        <w:pStyle w:val="Normal"/>
        <w:rPr/>
      </w:pPr>
      <w:r>
        <w:rPr/>
        <w:t>The Honorable Bruce L. Birchman</w:t>
      </w:r>
    </w:p>
    <w:p>
      <w:pPr>
        <w:pStyle w:val="Normal"/>
        <w:rPr/>
      </w:pPr>
      <w:r>
        <w:rPr/>
        <w:t>Presiding Administrative Law Judge</w:t>
      </w:r>
    </w:p>
    <w:p>
      <w:pPr>
        <w:pStyle w:val="Header"/>
        <w:tabs>
          <w:tab w:val="clear" w:pos="4320"/>
          <w:tab w:val="clear" w:pos="8640"/>
        </w:tabs>
        <w:rPr/>
      </w:pPr>
      <w:r>
        <w:rPr/>
        <w:t>Federal Energy Regulatory Commission</w:t>
      </w:r>
    </w:p>
    <w:p>
      <w:pPr>
        <w:pStyle w:val="Normal"/>
        <w:rPr/>
      </w:pPr>
      <w:r>
        <w:rPr/>
        <w:t>888 First Street, N.E.</w:t>
      </w:r>
    </w:p>
    <w:p>
      <w:pPr>
        <w:pStyle w:val="Normal"/>
        <w:rPr/>
      </w:pPr>
      <w:r>
        <w:rPr/>
        <w:t>Room 11F-37</w:t>
      </w:r>
    </w:p>
    <w:p>
      <w:pPr>
        <w:pStyle w:val="Normal"/>
        <w:rPr/>
      </w:pPr>
      <w:r>
        <w:rPr/>
        <w:t>Washington, DC 20426</w:t>
      </w:r>
    </w:p>
    <w:p>
      <w:pPr>
        <w:pStyle w:val="Normal"/>
        <w:rPr/>
      </w:pPr>
      <w:r>
        <w:rPr/>
      </w:r>
    </w:p>
    <w:p>
      <w:pPr>
        <w:pStyle w:val="Normal"/>
        <w:rPr/>
      </w:pPr>
      <w:r>
        <w:rPr/>
        <w:tab/>
        <w:t>Regarding:</w:t>
        <w:tab/>
        <w:t>San Diego Gas &amp; Electric Company</w:t>
      </w:r>
    </w:p>
    <w:p>
      <w:pPr>
        <w:pStyle w:val="Normal"/>
        <w:rPr/>
      </w:pPr>
      <w:r>
        <w:rPr/>
        <w:tab/>
        <w:tab/>
        <w:tab/>
        <w:t xml:space="preserve">FERC Docket Nos. EL00-95-045 </w:t>
      </w:r>
      <w:r>
        <w:rPr>
          <w:i/>
          <w:iCs/>
        </w:rPr>
        <w:t>et al.</w:t>
      </w:r>
    </w:p>
    <w:p>
      <w:pPr>
        <w:pStyle w:val="Normal"/>
        <w:rPr>
          <w:i/>
          <w:i/>
          <w:iCs/>
        </w:rPr>
      </w:pPr>
      <w:r>
        <w:rPr>
          <w:i/>
          <w:iCs/>
        </w:rPr>
      </w:r>
    </w:p>
    <w:p>
      <w:pPr>
        <w:pStyle w:val="Normal"/>
        <w:rPr/>
      </w:pPr>
      <w:r>
        <w:rPr/>
        <w:t>Dear Judge Birchman:</w:t>
      </w:r>
    </w:p>
    <w:p>
      <w:pPr>
        <w:pStyle w:val="Normal"/>
        <w:rPr/>
      </w:pPr>
      <w:r>
        <w:rPr/>
      </w:r>
    </w:p>
    <w:p>
      <w:pPr>
        <w:pStyle w:val="Normal"/>
        <w:rPr/>
      </w:pPr>
      <w:r>
        <w:rPr/>
        <w:tab/>
        <w:t xml:space="preserve">The California Power Exchange Corporation (“CalPX”) responds as follows to the request for information in your October 26, 2001 order with regard to the October 5, 2001 settlement filed by the Official Committee of Participant Creditors of the CalPX (“Committee”).  </w:t>
      </w:r>
    </w:p>
    <w:p>
      <w:pPr>
        <w:pStyle w:val="Normal"/>
        <w:rPr/>
      </w:pPr>
      <w:r>
        <w:rPr/>
      </w:r>
    </w:p>
    <w:p>
      <w:pPr>
        <w:pStyle w:val="Normal"/>
        <w:rPr/>
      </w:pPr>
      <w:r>
        <w:rPr/>
        <w:tab/>
        <w:t xml:space="preserve">As specifically stated in its October 19, 2001 initial comments, CalPX does not take a position either for or against the proposed settlement.  CalPX did indicate in its comments that, if the Commission ordered the settlement to be implemented, CalPX would be able to do so.  CalPX also pointed out that, if the mechanism in the proposed settlement for continued funding of CalPX’s activities is not adopted, the Commission will have to provide an alternative means of funding CalPX’s activities.  Without a provision for funding its activities, CalPX will effectively run out of funds by the end of the year.  At that point, the Commission would have to make arrangements for some other entity to participate in the ongoing litigation at FERC, such as this proceeding, that requires involvement by CalPX.  </w:t>
      </w:r>
    </w:p>
    <w:p>
      <w:pPr>
        <w:pStyle w:val="Normal"/>
        <w:rPr/>
      </w:pPr>
      <w:r>
        <w:rPr/>
      </w:r>
      <w:r>
        <w:br w:type="page"/>
      </w:r>
    </w:p>
    <w:p>
      <w:pPr>
        <w:pStyle w:val="Normal"/>
        <w:rPr/>
      </w:pPr>
      <w:r>
        <w:rPr/>
        <w:tab/>
        <w:t>CalPX also notes that the settlement does provide a methodology for allocating the deficiency of funds caused by the defaults of Pacific Gas and Electric Company and Southern California Edison Company.  If the proposed method is not adopted, the Commission will have to order an alternative methodology because it previously rejected the “chargeback” methodology in the CalPX tariff (95 FERC ¶ 61,020).</w:t>
      </w:r>
    </w:p>
    <w:p>
      <w:pPr>
        <w:pStyle w:val="Normal"/>
        <w:rPr/>
      </w:pPr>
      <w:r>
        <w:rPr/>
      </w:r>
    </w:p>
    <w:p>
      <w:pPr>
        <w:pStyle w:val="Normal"/>
        <w:rPr/>
      </w:pPr>
      <w:r>
        <w:rPr/>
        <w:tab/>
        <w:tab/>
        <w:tab/>
        <w:tab/>
        <w:tab/>
        <w:tab/>
        <w:tab/>
        <w:t>Very truly yours,</w:t>
      </w:r>
    </w:p>
    <w:p>
      <w:pPr>
        <w:pStyle w:val="Normal"/>
        <w:rPr/>
      </w:pPr>
      <w:r>
        <w:rPr/>
      </w:r>
    </w:p>
    <w:p>
      <w:pPr>
        <w:pStyle w:val="Normal"/>
        <w:rPr/>
      </w:pPr>
      <w:r>
        <w:rPr/>
      </w:r>
    </w:p>
    <w:p>
      <w:pPr>
        <w:pStyle w:val="Normal"/>
        <w:rPr/>
      </w:pPr>
      <w:r>
        <w:rPr/>
      </w:r>
    </w:p>
    <w:p>
      <w:pPr>
        <w:pStyle w:val="Normal"/>
        <w:rPr/>
      </w:pPr>
      <w:r>
        <w:rPr/>
        <w:tab/>
        <w:tab/>
        <w:tab/>
        <w:tab/>
        <w:tab/>
        <w:tab/>
        <w:tab/>
        <w:t>James H. McGrew</w:t>
      </w:r>
    </w:p>
    <w:p>
      <w:pPr>
        <w:pStyle w:val="Normal"/>
        <w:rPr>
          <w:rFonts w:cs="Arial"/>
        </w:rPr>
      </w:pPr>
      <w:r>
        <w:rPr>
          <w:rFonts w:cs="Arial"/>
        </w:rPr>
        <w:tab/>
        <w:tab/>
        <w:tab/>
        <w:tab/>
        <w:tab/>
        <w:tab/>
        <w:tab/>
        <w:t>Counsel for California Power Exchange</w:t>
      </w:r>
    </w:p>
    <w:p>
      <w:pPr>
        <w:pStyle w:val="Normal"/>
        <w:rPr>
          <w:rFonts w:cs="Arial"/>
        </w:rPr>
      </w:pPr>
      <w:r>
        <w:rPr>
          <w:rFonts w:cs="Arial"/>
        </w:rPr>
        <w:tab/>
        <w:tab/>
        <w:tab/>
        <w:tab/>
        <w:tab/>
        <w:tab/>
        <w:tab/>
        <w:t>Corporation</w:t>
      </w:r>
    </w:p>
    <w:p>
      <w:pPr>
        <w:pStyle w:val="Normal"/>
        <w:rPr>
          <w:rFonts w:cs="Arial"/>
        </w:rPr>
      </w:pPr>
      <w:r>
        <w:rPr>
          <w:rFonts w:cs="Arial"/>
        </w:rPr>
      </w:r>
    </w:p>
    <w:p>
      <w:pPr>
        <w:pStyle w:val="Normal"/>
        <w:rPr/>
      </w:pPr>
      <w:r>
        <w:rPr>
          <w:rFonts w:cs="Arial"/>
        </w:rPr>
        <w:t>cc:</w:t>
        <w:tab/>
        <w:t xml:space="preserve">Parties in EL00-95-045 </w:t>
      </w:r>
      <w:r>
        <w:rPr>
          <w:rFonts w:cs="Arial"/>
          <w:i/>
          <w:iCs/>
        </w:rPr>
        <w:t>et al.</w:t>
      </w:r>
    </w:p>
    <w:p>
      <w:pPr>
        <w:pStyle w:val="Normal"/>
        <w:rPr>
          <w:rFonts w:cs="Arial"/>
          <w:i/>
          <w:i/>
          <w:iCs/>
        </w:rPr>
      </w:pPr>
      <w:r>
        <w:rPr>
          <w:rFonts w:cs="Arial"/>
          <w:i/>
          <w:iCs/>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sz w:val="18"/>
        </w:rPr>
      </w:pPr>
      <w:r>
        <w:rPr>
          <w:rFonts w:cs="Arial"/>
          <w:sz w:val="18"/>
        </w:rPr>
        <w:fldChar w:fldCharType="begin"/>
      </w:r>
      <w:r>
        <w:rPr>
          <w:sz w:val="18"/>
          <w:rFonts w:cs="Arial"/>
        </w:rPr>
        <w:instrText xml:space="preserve"> FILENAME \p </w:instrText>
      </w:r>
      <w:r>
        <w:rPr>
          <w:sz w:val="18"/>
          <w:rFonts w:cs="Arial"/>
        </w:rPr>
        <w:fldChar w:fldCharType="separate"/>
      </w:r>
      <w:r>
        <w:rPr>
          <w:sz w:val="18"/>
          <w:rFonts w:cs="Arial"/>
        </w:rPr>
        <w:t>/mnt/main-storage/datasets/enron-docs/doc/BLF0727.DOC</w:t>
      </w:r>
      <w:r>
        <w:rPr>
          <w:sz w:val="18"/>
          <w:rFonts w:cs="Arial"/>
        </w:rPr>
        <w:fldChar w:fldCharType="end"/>
      </w:r>
    </w:p>
    <w:sectPr>
      <w:headerReference w:type="default" r:id="rId2"/>
      <w:headerReference w:type="first" r:id="rId3"/>
      <w:type w:val="nextPage"/>
      <w:pgSz w:w="12240" w:h="15840"/>
      <w:pgMar w:left="1440" w:right="1440" w:gutter="0" w:header="720" w:top="776"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aur">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ind w:hanging="0" w:start="0"/>
      <w:rPr/>
    </w:pPr>
    <w:r>
      <w:rPr/>
    </w:r>
  </w:p>
  <w:p>
    <w:pPr>
      <w:pStyle w:val="Normal"/>
      <w:tabs>
        <w:tab w:val="clear" w:pos="720"/>
        <w:tab w:val="right" w:pos="9350" w:leader="none"/>
      </w:tabs>
      <w:rPr/>
    </w:pPr>
    <w:r>
      <w:rPr/>
      <w:t>The Honorable David P. Boergers</w:t>
    </w:r>
  </w:p>
  <w:p>
    <w:pPr>
      <w:pStyle w:val="Normal"/>
      <w:tabs>
        <w:tab w:val="clear" w:pos="720"/>
        <w:tab w:val="right" w:pos="9350" w:leader="none"/>
      </w:tabs>
      <w:rPr/>
    </w:pPr>
    <w:r>
      <w:rPr/>
      <w:t>October 31, 2001</w:t>
    </w:r>
  </w:p>
  <w:p>
    <w:pPr>
      <w:pStyle w:val="Normal"/>
      <w:tabs>
        <w:tab w:val="clear" w:pos="720"/>
        <w:tab w:val="right" w:pos="9350" w:leader="none"/>
      </w:tabs>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Normal"/>
      <w:tabs>
        <w:tab w:val="clear" w:pos="720"/>
        <w:tab w:val="right" w:pos="9350" w:leader="none"/>
      </w:tabs>
      <w:rPr>
        <w:rStyle w:val="PageNumber"/>
        <w:sz w:val="20"/>
        <w:lang w:val="en-CA" w:eastAsia="en-CA"/>
      </w:rPr>
    </w:pPr>
    <w:r>
      <w:rPr/>
      <mc:AlternateContent>
        <mc:Choice Requires="wps">
          <w:drawing>
            <wp:anchor behindDoc="1" distT="0" distB="0" distL="114935" distR="114935" simplePos="0" locked="0" layoutInCell="1" allowOverlap="1" relativeHeight="2">
              <wp:simplePos x="0" y="0"/>
              <wp:positionH relativeFrom="column">
                <wp:posOffset>0</wp:posOffset>
              </wp:positionH>
              <wp:positionV relativeFrom="paragraph">
                <wp:posOffset>149860</wp:posOffset>
              </wp:positionV>
              <wp:extent cx="5943600" cy="0"/>
              <wp:effectExtent l="0" t="19050" r="0" b="19050"/>
              <wp:wrapNone/>
              <wp:docPr id="1" name=""/>
              <a:graphic xmlns:a="http://schemas.openxmlformats.org/drawingml/2006/main">
                <a:graphicData uri="http://schemas.microsoft.com/office/word/2010/wordprocessingShape">
                  <wps:wsp>
                    <wps:cNvSpPr/>
                    <wps:spPr>
                      <a:xfrm>
                        <a:off x="0" y="0"/>
                        <a:ext cx="594360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0pt,11.8pt" to="467.95pt,11.8pt" stroked="t" o:allowincell="f" style="position:absolute">
              <v:stroke color="black" weight="38160" joinstyle="miter" endcap="flat"/>
              <v:fill o:detectmouseclick="t" on="false"/>
              <w10:wrap type="none"/>
            </v:line>
          </w:pict>
        </mc:Fallback>
      </mc:AlternateContent>
    </w:r>
  </w:p>
  <w:p>
    <w:pPr>
      <w:pStyle w:val="Normal"/>
      <w:tabs>
        <w:tab w:val="clear" w:pos="720"/>
        <w:tab w:val="right" w:pos="9350" w:leader="none"/>
      </w:tabs>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cs="Arial"/>
      <w:b/>
      <w:bCs/>
      <w:smallCaps/>
      <w:kern w:val="2"/>
      <w:sz w:val="28"/>
      <w:szCs w:val="32"/>
    </w:rPr>
  </w:style>
  <w:style w:type="paragraph" w:styleId="Heading2">
    <w:name w:val="heading 2"/>
    <w:basedOn w:val="Normal"/>
    <w:next w:val="Normal"/>
    <w:qFormat/>
    <w:pPr>
      <w:keepNext w:val="true"/>
      <w:numPr>
        <w:ilvl w:val="1"/>
        <w:numId w:val="1"/>
      </w:numPr>
      <w:ind w:firstLine="720" w:start="0" w:end="0"/>
      <w:outlineLvl w:val="1"/>
    </w:pPr>
    <w:rPr>
      <w:rFonts w:cs="Arial"/>
      <w:b/>
      <w:bCs/>
      <w:iCs/>
      <w:smallCaps/>
      <w:sz w:val="26"/>
      <w:szCs w:val="28"/>
    </w:rPr>
  </w:style>
  <w:style w:type="paragraph" w:styleId="Heading3">
    <w:name w:val="heading 3"/>
    <w:basedOn w:val="Normal"/>
    <w:next w:val="Normal"/>
    <w:qFormat/>
    <w:pPr>
      <w:keepNext w:val="true"/>
      <w:numPr>
        <w:ilvl w:val="2"/>
        <w:numId w:val="1"/>
      </w:numPr>
      <w:ind w:firstLine="1440" w:start="0" w:end="0"/>
      <w:outlineLvl w:val="2"/>
    </w:pPr>
    <w:rPr>
      <w:rFonts w:cs="Arial"/>
      <w:b/>
      <w:bCs/>
      <w:smallCaps/>
      <w:szCs w:val="26"/>
    </w:rPr>
  </w:style>
  <w:style w:type="paragraph" w:styleId="Heading4">
    <w:name w:val="heading 4"/>
    <w:basedOn w:val="Normal"/>
    <w:next w:val="Normal"/>
    <w:qFormat/>
    <w:pPr>
      <w:keepNext w:val="true"/>
      <w:numPr>
        <w:ilvl w:val="3"/>
        <w:numId w:val="1"/>
      </w:numPr>
      <w:tabs>
        <w:tab w:val="clear" w:pos="720"/>
        <w:tab w:val="right" w:pos="9350" w:leader="none"/>
      </w:tabs>
      <w:outlineLvl w:val="3"/>
    </w:pPr>
    <w:rPr>
      <w:b/>
      <w:bCs/>
      <w:sz w:val="20"/>
    </w:rPr>
  </w:style>
  <w:style w:type="character" w:styleId="DefaultParagraphFont">
    <w:name w:val="Default Paragraph Font"/>
    <w:qFormat/>
    <w:rPr/>
  </w:style>
  <w:style w:type="character" w:styleId="FootnoteCharacters">
    <w:name w:val="Footnote Characters"/>
    <w:basedOn w:val="DefaultParagraphFont"/>
    <w:qFormat/>
    <w:rPr>
      <w:rFonts w:ascii="Arial" w:hAnsi="Arial" w:cs="Arial"/>
      <w:sz w:val="24"/>
      <w:u w:val="single"/>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tabs>
        <w:tab w:val="clear" w:pos="720"/>
        <w:tab w:val="left" w:pos="432" w:leader="none"/>
      </w:tabs>
      <w:ind w:firstLine="432" w:start="0" w:end="0"/>
    </w:pPr>
    <w:rPr>
      <w:sz w:val="20"/>
      <w:szCs w:val="20"/>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Boergers-Letter</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2001-10-31T16:04:00Z</dcterms:created>
  <dc:creator>blfetherolf</dc:creator>
  <dc:description/>
  <dc:language>en-CA</dc:language>
  <cp:lastModifiedBy>blfetherolf</cp:lastModifiedBy>
  <cp:lastPrinted>2001-10-30T17:13:00Z</cp:lastPrinted>
  <dcterms:modified xsi:type="dcterms:W3CDTF">2001-10-31T16:04:00Z</dcterms:modified>
  <cp:revision>2</cp:revision>
  <dc:subject/>
  <dc:title>Ltr to Judge Birchman re Settlement  (BLF0727.DOC;1)</dc:title>
</cp:coreProperties>
</file>