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spacing w:before="120" w:after="0"/>
        <w:ind w:hanging="0" w:start="0"/>
        <w:rPr>
          <w:sz w:val="26"/>
        </w:rPr>
      </w:pPr>
      <w:r>
        <w:rPr>
          <w:sz w:val="26"/>
        </w:rPr>
        <w:t>UNITED STATES OF AMERICA</w:t>
      </w:r>
    </w:p>
    <w:p>
      <w:pPr>
        <w:pStyle w:val="Heading6"/>
        <w:ind w:hanging="0" w:start="0"/>
        <w:rPr>
          <w:sz w:val="26"/>
        </w:rPr>
      </w:pPr>
      <w:r>
        <w:rPr>
          <w:sz w:val="26"/>
        </w:rPr>
        <w:t>BEFORE THE</w:t>
      </w:r>
    </w:p>
    <w:p>
      <w:pPr>
        <w:pStyle w:val="Heading6"/>
        <w:spacing w:before="0" w:after="120"/>
        <w:ind w:hanging="0" w:start="0"/>
        <w:rPr>
          <w:sz w:val="26"/>
        </w:rPr>
      </w:pPr>
      <w:r>
        <w:rPr>
          <w:sz w:val="26"/>
        </w:rPr>
        <w:t>FEDERAL ENERGY REGULATORY COMMISSION</w:t>
      </w:r>
    </w:p>
    <w:p>
      <w:pPr>
        <w:pStyle w:val="Normal"/>
        <w:jc w:val="both"/>
        <w:rPr>
          <w:sz w:val="26"/>
          <w:lang w:val="en-CA" w:eastAsia="en-CA"/>
        </w:rPr>
      </w:pPr>
      <w:r>
        <w:rPr>
          <w:sz w:val="26"/>
          <w:lang w:val="en-CA" w:eastAsia="en-CA"/>
        </w:rPr>
        <mc:AlternateContent>
          <mc:Choice Requires="wps">
            <w:drawing>
              <wp:anchor behindDoc="0" distT="0" distB="0" distL="114935" distR="114935" simplePos="0" locked="0" layoutInCell="1" allowOverlap="1" relativeHeight="7">
                <wp:simplePos x="0" y="0"/>
                <wp:positionH relativeFrom="column">
                  <wp:posOffset>0</wp:posOffset>
                </wp:positionH>
                <wp:positionV relativeFrom="paragraph">
                  <wp:posOffset>57150</wp:posOffset>
                </wp:positionV>
                <wp:extent cx="5943600" cy="0"/>
                <wp:effectExtent l="0" t="19050" r="0" b="19050"/>
                <wp:wrapNone/>
                <wp:docPr id="1" name=""/>
                <a:graphic xmlns:a="http://schemas.openxmlformats.org/drawingml/2006/main">
                  <a:graphicData uri="http://schemas.microsoft.com/office/word/2010/wordprocessingShape">
                    <wps:wsp>
                      <wps:cNvSpPr/>
                      <wps:spPr>
                        <a:xfrm>
                          <a:off x="0" y="0"/>
                          <a:ext cx="59436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4.5pt" to="467.95pt,4.5pt" stroked="t" o:allowincell="f" style="position:absolute">
                <v:stroke color="black" weight="38160" joinstyle="miter" endcap="flat"/>
                <v:fill o:detectmouseclick="t" on="false"/>
                <w10:wrap type="none"/>
              </v:line>
            </w:pict>
          </mc:Fallback>
        </mc:AlternateContent>
      </w:r>
    </w:p>
    <w:p>
      <w:pPr>
        <w:pStyle w:val="Normal"/>
        <w:rPr>
          <w:b/>
          <w:bCs/>
          <w:smallCaps/>
        </w:rPr>
      </w:pPr>
      <w:r>
        <w:rPr>
          <w:b/>
          <w:bCs/>
          <w:smallCaps/>
        </w:rPr>
        <w:t>San Diego Gas &amp; Electric Company,</w:t>
        <w:tab/>
        <w:tab/>
        <w:t xml:space="preserve">| </w:t>
      </w:r>
    </w:p>
    <w:p>
      <w:pPr>
        <w:pStyle w:val="Normal"/>
        <w:rPr>
          <w:b/>
          <w:bCs/>
          <w:smallCaps/>
        </w:rPr>
      </w:pPr>
      <w:r>
        <w:rPr>
          <w:rFonts w:eastAsia="Arial"/>
          <w:b/>
          <w:bCs/>
          <w:smallCaps/>
        </w:rPr>
        <w:t xml:space="preserve">              </w:t>
      </w:r>
      <w:r>
        <w:rPr>
          <w:b/>
          <w:bCs/>
          <w:smallCaps/>
        </w:rPr>
        <w:t>Complainant,</w:t>
        <w:tab/>
        <w:tab/>
        <w:tab/>
        <w:tab/>
        <w:t>|</w:t>
      </w:r>
    </w:p>
    <w:p>
      <w:pPr>
        <w:pStyle w:val="Normal"/>
        <w:rPr>
          <w:b/>
          <w:bCs/>
          <w:smallCaps/>
        </w:rPr>
      </w:pPr>
      <w:r>
        <w:rPr>
          <w:b/>
          <w:bCs/>
          <w:smallCaps/>
        </w:rPr>
        <w:tab/>
        <w:tab/>
        <w:tab/>
        <w:tab/>
        <w:tab/>
        <w:tab/>
        <w:tab/>
        <w:t>|</w:t>
      </w:r>
    </w:p>
    <w:p>
      <w:pPr>
        <w:pStyle w:val="Normal"/>
        <w:rPr/>
      </w:pPr>
      <w:r>
        <w:rPr>
          <w:rFonts w:eastAsia="Arial"/>
          <w:b/>
          <w:bCs/>
          <w:smallCaps/>
        </w:rPr>
        <w:t xml:space="preserve">                          </w:t>
      </w:r>
      <w:r>
        <w:rPr>
          <w:b/>
          <w:bCs/>
          <w:smallCaps/>
        </w:rPr>
        <w:t>v.</w:t>
        <w:tab/>
        <w:tab/>
        <w:tab/>
        <w:tab/>
        <w:tab/>
        <w:t>|</w:t>
        <w:tab/>
        <w:t xml:space="preserve">Docket Nos. EL00-95-000 </w:t>
      </w:r>
      <w:r>
        <w:rPr>
          <w:b/>
          <w:bCs/>
          <w:i/>
          <w:iCs/>
          <w:smallCaps/>
        </w:rPr>
        <w:t>et al.</w:t>
      </w:r>
    </w:p>
    <w:p>
      <w:pPr>
        <w:pStyle w:val="Normal"/>
        <w:rPr>
          <w:b/>
          <w:bCs/>
          <w:smallCaps/>
        </w:rPr>
      </w:pPr>
      <w:r>
        <w:rPr>
          <w:b/>
          <w:bCs/>
          <w:smallCaps/>
        </w:rPr>
        <w:tab/>
        <w:tab/>
        <w:tab/>
        <w:tab/>
        <w:tab/>
        <w:tab/>
        <w:tab/>
        <w:t>|</w:t>
      </w:r>
    </w:p>
    <w:p>
      <w:pPr>
        <w:pStyle w:val="Normal"/>
        <w:rPr>
          <w:b/>
          <w:bCs/>
          <w:smallCaps/>
        </w:rPr>
      </w:pPr>
      <w:r>
        <w:rPr>
          <w:b/>
          <w:bCs/>
          <w:smallCaps/>
        </w:rPr>
        <w:t>Sellers of Energy and Ancillary Service</w:t>
        <w:tab/>
        <w:t>|</w:t>
      </w:r>
    </w:p>
    <w:p>
      <w:pPr>
        <w:pStyle w:val="Normal"/>
        <w:rPr>
          <w:b/>
          <w:bCs/>
          <w:smallCaps/>
        </w:rPr>
      </w:pPr>
      <w:r>
        <w:rPr>
          <w:b/>
          <w:bCs/>
          <w:smallCaps/>
        </w:rPr>
        <w:t xml:space="preserve">Into Markets Operated by the California </w:t>
        <w:tab/>
        <w:t>|</w:t>
      </w:r>
    </w:p>
    <w:p>
      <w:pPr>
        <w:pStyle w:val="Normal"/>
        <w:rPr/>
      </w:pPr>
      <w:r>
        <w:rPr>
          <w:b/>
          <w:bCs/>
          <w:smallCaps/>
        </w:rPr>
        <w:t>Independent System Operator and the</w:t>
      </w:r>
      <w:r>
        <w:rPr/>
        <w:tab/>
        <w:tab/>
        <w:t>|</w:t>
      </w:r>
    </w:p>
    <w:p>
      <w:pPr>
        <w:pStyle w:val="Heading7"/>
        <w:ind w:hanging="0" w:start="0"/>
        <w:rPr/>
      </w:pPr>
      <w:r>
        <w:rPr/>
        <w:t>California Power Exchange,</w:t>
        <w:tab/>
        <w:t xml:space="preserve"> </w:t>
        <w:tab/>
        <w:tab/>
        <w:t>|</w:t>
      </w:r>
    </w:p>
    <w:p>
      <w:pPr>
        <w:pStyle w:val="Normal"/>
        <w:rPr>
          <w:b/>
          <w:bCs/>
          <w:smallCaps/>
        </w:rPr>
      </w:pPr>
      <w:r>
        <w:rPr>
          <w:rFonts w:eastAsia="Arial"/>
          <w:b/>
          <w:bCs/>
          <w:smallCaps/>
        </w:rPr>
        <w:t xml:space="preserve">              </w:t>
      </w:r>
      <w:r>
        <w:rPr>
          <w:b/>
          <w:bCs/>
          <w:smallCaps/>
        </w:rPr>
        <w:t>Respondents.</w:t>
        <w:tab/>
        <w:tab/>
        <w:tab/>
        <w:tab/>
        <w:t>|</w:t>
      </w:r>
    </w:p>
    <w:p>
      <w:pPr>
        <w:pStyle w:val="Normal"/>
        <w:rPr>
          <w:b/>
          <w:bCs/>
          <w:smallCaps/>
        </w:rPr>
      </w:pPr>
      <w:r>
        <w:rPr>
          <w:b/>
          <w:bCs/>
          <w:smallCaps/>
        </w:rPr>
        <w:tab/>
        <w:tab/>
        <w:tab/>
        <w:tab/>
        <w:tab/>
        <w:tab/>
        <w:tab/>
        <w:t>|</w:t>
      </w:r>
    </w:p>
    <w:p>
      <w:pPr>
        <w:pStyle w:val="Normal"/>
        <w:rPr>
          <w:b/>
          <w:bCs/>
          <w:smallCaps/>
        </w:rPr>
      </w:pPr>
      <w:r>
        <w:rPr>
          <w:b/>
          <w:bCs/>
          <w:smallCaps/>
        </w:rPr>
        <w:t>Investigation of Practices of the</w:t>
        <w:tab/>
        <w:tab/>
        <w:t>|</w:t>
        <w:tab/>
        <w:t xml:space="preserve">Docket Nos. EL00-98-000 </w:t>
      </w:r>
      <w:r>
        <w:rPr>
          <w:b/>
          <w:bCs/>
          <w:i/>
          <w:iCs/>
          <w:smallCaps/>
        </w:rPr>
        <w:t>et al.</w:t>
      </w:r>
    </w:p>
    <w:p>
      <w:pPr>
        <w:pStyle w:val="Normal"/>
        <w:rPr>
          <w:b/>
          <w:bCs/>
          <w:smallCaps/>
        </w:rPr>
      </w:pPr>
      <w:r>
        <w:rPr>
          <w:b/>
          <w:bCs/>
          <w:smallCaps/>
        </w:rPr>
        <w:t>California Independent System Operator</w:t>
        <w:tab/>
        <w:t>|</w:t>
      </w:r>
    </w:p>
    <w:p>
      <w:pPr>
        <w:pStyle w:val="Normal"/>
        <w:rPr>
          <w:b/>
          <w:bCs/>
          <w:smallCaps/>
        </w:rPr>
      </w:pPr>
      <w:r>
        <w:rPr>
          <w:b/>
          <w:bCs/>
          <w:smallCaps/>
        </w:rPr>
        <w:t>and the California Power Exchange</w:t>
        <w:tab/>
        <w:tab/>
        <w:t>|</w:t>
      </w:r>
    </w:p>
    <w:p>
      <w:pPr>
        <w:pStyle w:val="Normal"/>
        <w:rPr>
          <w:b/>
          <w:bCs/>
          <w:smallCaps/>
        </w:rPr>
      </w:pPr>
      <w:r>
        <w:rPr>
          <w:b/>
          <w:bCs/>
          <w:smallCaps/>
        </w:rPr>
        <w:tab/>
        <w:tab/>
        <w:tab/>
        <w:tab/>
        <w:tab/>
        <w:tab/>
        <w:tab/>
        <w:t>|</w:t>
      </w:r>
    </w:p>
    <w:p>
      <w:pPr>
        <w:pStyle w:val="Normal"/>
        <w:rPr>
          <w:b/>
          <w:smallCaps/>
        </w:rPr>
      </w:pPr>
      <w:r>
        <w:rPr>
          <w:b/>
          <w:smallCaps/>
        </w:rPr>
        <w:t>Coral Power, L.L.C., Enron Power</w:t>
        <w:tab/>
        <w:tab/>
        <w:t>|</w:t>
      </w:r>
    </w:p>
    <w:p>
      <w:pPr>
        <w:pStyle w:val="Heading1"/>
        <w:ind w:hanging="0" w:start="0"/>
        <w:rPr>
          <w:sz w:val="24"/>
        </w:rPr>
      </w:pPr>
      <w:r>
        <w:rPr>
          <w:sz w:val="24"/>
        </w:rPr>
        <w:t>Marketing, Inc., Arizona Public Service</w:t>
        <w:tab/>
        <w:t>|</w:t>
      </w:r>
    </w:p>
    <w:p>
      <w:pPr>
        <w:pStyle w:val="Normal"/>
        <w:jc w:val="both"/>
        <w:rPr>
          <w:b/>
          <w:smallCaps/>
        </w:rPr>
      </w:pPr>
      <w:r>
        <w:rPr>
          <w:b/>
          <w:smallCaps/>
        </w:rPr>
        <w:t>Company, Cargill-Alliant, LLC, San Diego</w:t>
        <w:tab/>
        <w:t>|</w:t>
      </w:r>
    </w:p>
    <w:p>
      <w:pPr>
        <w:pStyle w:val="Normal"/>
        <w:jc w:val="both"/>
        <w:rPr>
          <w:b/>
          <w:smallCaps/>
        </w:rPr>
      </w:pPr>
      <w:r>
        <w:rPr>
          <w:b/>
          <w:smallCaps/>
        </w:rPr>
        <w:t>Gas &amp; Electric Company,</w:t>
        <w:tab/>
        <w:t xml:space="preserve">Avista Energy, </w:t>
        <w:tab/>
        <w:t>|</w:t>
      </w:r>
    </w:p>
    <w:p>
      <w:pPr>
        <w:pStyle w:val="Normal"/>
        <w:jc w:val="both"/>
        <w:rPr>
          <w:b/>
          <w:smallCaps/>
        </w:rPr>
      </w:pPr>
      <w:r>
        <w:rPr>
          <w:b/>
          <w:smallCaps/>
        </w:rPr>
        <w:t>Inc., Sempra Energy Trading Corp.,</w:t>
        <w:tab/>
        <w:tab/>
        <w:t>|</w:t>
      </w:r>
    </w:p>
    <w:p>
      <w:pPr>
        <w:pStyle w:val="Normal"/>
        <w:jc w:val="both"/>
        <w:rPr>
          <w:b/>
          <w:smallCaps/>
        </w:rPr>
      </w:pPr>
      <w:r>
        <w:rPr>
          <w:b/>
          <w:smallCaps/>
        </w:rPr>
        <w:t xml:space="preserve">PacifiCorp, and Constellation Power </w:t>
        <w:tab/>
        <w:t>|</w:t>
      </w:r>
    </w:p>
    <w:p>
      <w:pPr>
        <w:pStyle w:val="Normal"/>
        <w:jc w:val="both"/>
        <w:rPr>
          <w:b/>
          <w:smallCaps/>
        </w:rPr>
      </w:pPr>
      <w:r>
        <w:rPr>
          <w:b/>
          <w:smallCaps/>
        </w:rPr>
        <w:t>Source</w:t>
        <w:tab/>
        <w:tab/>
        <w:tab/>
        <w:tab/>
        <w:tab/>
        <w:tab/>
        <w:t>|</w:t>
      </w:r>
    </w:p>
    <w:p>
      <w:pPr>
        <w:pStyle w:val="Normal"/>
        <w:rPr/>
      </w:pPr>
      <w:r>
        <w:rPr/>
        <w:tab/>
        <w:tab/>
        <w:tab/>
        <w:tab/>
        <w:tab/>
        <w:tab/>
        <w:tab/>
      </w:r>
      <w:r>
        <w:rPr>
          <w:b/>
          <w:smallCaps/>
        </w:rPr>
        <w:t>|</w:t>
      </w:r>
    </w:p>
    <w:p>
      <w:pPr>
        <w:pStyle w:val="Normal"/>
        <w:rPr/>
      </w:pPr>
      <w:r>
        <w:rPr/>
        <w:tab/>
        <w:tab/>
      </w:r>
      <w:r>
        <w:rPr>
          <w:b/>
        </w:rPr>
        <w:t>v.</w:t>
      </w:r>
      <w:r>
        <w:rPr/>
        <w:tab/>
        <w:tab/>
        <w:tab/>
        <w:tab/>
        <w:tab/>
      </w:r>
      <w:r>
        <w:rPr>
          <w:b/>
          <w:smallCaps/>
        </w:rPr>
        <w:t>|</w:t>
        <w:tab/>
        <w:t>Docket No. EL01-36-000</w:t>
      </w:r>
    </w:p>
    <w:p>
      <w:pPr>
        <w:pStyle w:val="Normal"/>
        <w:rPr>
          <w:b/>
          <w:smallCaps/>
        </w:rPr>
      </w:pPr>
      <w:r>
        <w:rPr>
          <w:b/>
          <w:smallCaps/>
        </w:rPr>
        <w:tab/>
        <w:tab/>
        <w:tab/>
        <w:tab/>
        <w:tab/>
        <w:tab/>
        <w:tab/>
        <w:t>|</w:t>
      </w:r>
    </w:p>
    <w:p>
      <w:pPr>
        <w:pStyle w:val="Normal"/>
        <w:rPr>
          <w:b/>
          <w:smallCaps/>
        </w:rPr>
      </w:pPr>
      <w:r>
        <w:rPr>
          <w:b/>
          <w:smallCaps/>
        </w:rPr>
        <w:t>California Power Exchange Corporation</w:t>
        <w:tab/>
        <w:t>|</w:t>
      </w:r>
    </w:p>
    <w:p>
      <w:pPr>
        <w:pStyle w:val="Normal"/>
        <w:rPr>
          <w:b/>
          <w:smallCaps/>
        </w:rPr>
      </w:pPr>
      <w:r>
        <w:rPr>
          <w:b/>
          <w:smallCaps/>
        </w:rPr>
        <w:tab/>
        <w:tab/>
        <w:tab/>
        <w:tab/>
        <w:tab/>
        <w:tab/>
        <w:tab/>
        <w:t>|</w:t>
      </w:r>
    </w:p>
    <w:p>
      <w:pPr>
        <w:pStyle w:val="Normal"/>
        <w:rPr>
          <w:b/>
          <w:smallCaps/>
        </w:rPr>
      </w:pPr>
      <w:r>
        <w:rPr>
          <w:b/>
          <w:smallCaps/>
        </w:rPr>
        <w:t>Salt River Project Agricultural</w:t>
        <w:tab/>
        <w:tab/>
        <w:t>|</w:t>
        <w:tab/>
      </w:r>
    </w:p>
    <w:p>
      <w:pPr>
        <w:pStyle w:val="Normal"/>
        <w:rPr>
          <w:b/>
          <w:smallCaps/>
        </w:rPr>
      </w:pPr>
      <w:r>
        <w:rPr>
          <w:b/>
          <w:smallCaps/>
        </w:rPr>
        <w:t>Improvement and Power District and</w:t>
        <w:tab/>
        <w:tab/>
        <w:t>|</w:t>
        <w:tab/>
      </w:r>
    </w:p>
    <w:p>
      <w:pPr>
        <w:pStyle w:val="Normal"/>
        <w:rPr>
          <w:b/>
          <w:smallCaps/>
        </w:rPr>
      </w:pPr>
      <w:r>
        <w:rPr>
          <w:b/>
          <w:smallCaps/>
        </w:rPr>
        <w:t>Sacramento Municipal Utility District</w:t>
        <w:tab/>
        <w:tab/>
        <w:t>|</w:t>
        <w:tab/>
      </w:r>
    </w:p>
    <w:p>
      <w:pPr>
        <w:pStyle w:val="Normal"/>
        <w:rPr>
          <w:b/>
          <w:smallCaps/>
        </w:rPr>
      </w:pPr>
      <w:r>
        <w:rPr>
          <w:b/>
          <w:smallCaps/>
        </w:rPr>
        <w:tab/>
        <w:tab/>
        <w:tab/>
        <w:tab/>
        <w:tab/>
        <w:tab/>
        <w:tab/>
        <w:t>|</w:t>
        <w:tab/>
      </w:r>
    </w:p>
    <w:p>
      <w:pPr>
        <w:pStyle w:val="Normal"/>
        <w:rPr>
          <w:b/>
          <w:smallCaps/>
        </w:rPr>
      </w:pPr>
      <w:r>
        <w:rPr>
          <w:b/>
          <w:smallCaps/>
        </w:rPr>
        <w:tab/>
        <w:tab/>
        <w:t>v.</w:t>
        <w:tab/>
        <w:tab/>
        <w:tab/>
        <w:tab/>
        <w:tab/>
        <w:t>|</w:t>
        <w:tab/>
        <w:t>Docket No. EL01-37-000</w:t>
      </w:r>
    </w:p>
    <w:p>
      <w:pPr>
        <w:pStyle w:val="Normal"/>
        <w:ind w:firstLine="720" w:start="3600" w:end="0"/>
        <w:rPr/>
      </w:pPr>
      <w:r>
        <w:rPr>
          <w:b/>
          <w:bCs/>
          <w:smallCaps/>
        </w:rPr>
        <w:tab/>
      </w:r>
      <w:r>
        <w:rPr>
          <w:b/>
          <w:smallCaps/>
        </w:rPr>
        <w:t>|</w:t>
      </w:r>
    </w:p>
    <w:p>
      <w:pPr>
        <w:pStyle w:val="Normal"/>
        <w:rPr>
          <w:b/>
          <w:smallCaps/>
        </w:rPr>
      </w:pPr>
      <w:r>
        <w:rPr>
          <w:b/>
          <w:smallCaps/>
        </w:rPr>
        <w:t>California Power Exchange Corporation</w:t>
        <w:tab/>
        <w:t>|</w:t>
      </w:r>
    </w:p>
    <w:p>
      <w:pPr>
        <w:pStyle w:val="Normal"/>
        <w:rPr>
          <w:b/>
          <w:smallCaps/>
        </w:rPr>
      </w:pPr>
      <w:r>
        <w:rPr>
          <w:b/>
          <w:smallCaps/>
        </w:rPr>
        <w:tab/>
        <w:tab/>
        <w:tab/>
        <w:tab/>
        <w:tab/>
        <w:tab/>
        <w:tab/>
        <w:t>|</w:t>
      </w:r>
    </w:p>
    <w:p>
      <w:pPr>
        <w:pStyle w:val="Normal"/>
        <w:rPr>
          <w:b/>
          <w:smallCaps/>
        </w:rPr>
      </w:pPr>
      <w:r>
        <w:rPr>
          <w:b/>
          <w:smallCaps/>
        </w:rPr>
        <w:t>Public Service Company of New Mexico</w:t>
        <w:tab/>
        <w:t>|</w:t>
      </w:r>
    </w:p>
    <w:p>
      <w:pPr>
        <w:pStyle w:val="Normal"/>
        <w:rPr>
          <w:b/>
          <w:smallCaps/>
        </w:rPr>
      </w:pPr>
      <w:r>
        <w:rPr>
          <w:b/>
          <w:smallCaps/>
        </w:rPr>
        <w:tab/>
        <w:tab/>
        <w:tab/>
        <w:tab/>
        <w:tab/>
        <w:tab/>
        <w:tab/>
        <w:t>|</w:t>
      </w:r>
    </w:p>
    <w:p>
      <w:pPr>
        <w:pStyle w:val="Normal"/>
        <w:rPr>
          <w:b/>
          <w:smallCaps/>
        </w:rPr>
      </w:pPr>
      <w:r>
        <w:rPr>
          <w:b/>
          <w:smallCaps/>
        </w:rPr>
        <w:tab/>
        <w:tab/>
        <w:t>v.</w:t>
        <w:tab/>
        <w:tab/>
        <w:tab/>
        <w:tab/>
        <w:tab/>
        <w:t>|</w:t>
        <w:tab/>
        <w:t>Docket No. EL01-43-000</w:t>
      </w:r>
    </w:p>
    <w:p>
      <w:pPr>
        <w:pStyle w:val="Normal"/>
        <w:rPr>
          <w:b/>
          <w:smallCaps/>
        </w:rPr>
      </w:pPr>
      <w:r>
        <w:rPr>
          <w:b/>
          <w:smallCaps/>
        </w:rPr>
        <w:tab/>
        <w:tab/>
        <w:tab/>
        <w:tab/>
        <w:tab/>
        <w:tab/>
        <w:tab/>
        <w:t>|</w:t>
      </w:r>
    </w:p>
    <w:p>
      <w:pPr>
        <w:pStyle w:val="Heading7"/>
        <w:spacing w:before="0" w:after="120"/>
        <w:ind w:hanging="0" w:start="0"/>
        <w:rPr>
          <w:bCs w:val="false"/>
        </w:rPr>
      </w:pPr>
      <w:r>
        <w:rPr>
          <w:bCs w:val="false"/>
        </w:rPr>
        <w:t>California Power Exchange Corporation</w:t>
        <w:tab/>
        <w:t>|</w:t>
      </w:r>
    </w:p>
    <w:p>
      <w:pPr>
        <w:pStyle w:val="Normal"/>
        <w:rPr>
          <w:b/>
          <w:smallCaps/>
        </w:rPr>
      </w:pPr>
      <w:r>
        <w:rPr>
          <w:b/>
          <w:smallCaps/>
        </w:rPr>
        <mc:AlternateContent>
          <mc:Choice Requires="wps">
            <w:drawing>
              <wp:anchor behindDoc="0" distT="0" distB="0" distL="114935" distR="114935" simplePos="0" locked="0" layoutInCell="1" allowOverlap="1" relativeHeight="8">
                <wp:simplePos x="0" y="0"/>
                <wp:positionH relativeFrom="column">
                  <wp:posOffset>0</wp:posOffset>
                </wp:positionH>
                <wp:positionV relativeFrom="paragraph">
                  <wp:posOffset>15240</wp:posOffset>
                </wp:positionV>
                <wp:extent cx="5943600" cy="0"/>
                <wp:effectExtent l="0" t="19050" r="0" b="19050"/>
                <wp:wrapNone/>
                <wp:docPr id="2" name=""/>
                <a:graphic xmlns:a="http://schemas.openxmlformats.org/drawingml/2006/main">
                  <a:graphicData uri="http://schemas.microsoft.com/office/word/2010/wordprocessingShape">
                    <wps:wsp>
                      <wps:cNvSpPr/>
                      <wps:spPr>
                        <a:xfrm>
                          <a:off x="0" y="0"/>
                          <a:ext cx="59436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1.2pt" to="467.95pt,1.2pt" stroked="t" o:allowincell="f" style="position:absolute">
                <v:stroke color="black" weight="38160" joinstyle="miter" endcap="flat"/>
                <v:fill o:detectmouseclick="t" on="false"/>
                <w10:wrap type="none"/>
              </v:line>
            </w:pict>
          </mc:Fallback>
        </mc:AlternateContent>
      </w:r>
      <w:r>
        <w:rPr>
          <w:b/>
          <w:smallCaps/>
        </w:rPr>
        <w:tab/>
        <w:tab/>
        <w:tab/>
        <w:tab/>
        <w:tab/>
        <w:tab/>
        <w:tab/>
      </w:r>
    </w:p>
    <w:p>
      <w:pPr>
        <w:pStyle w:val="Heading4"/>
        <w:spacing w:before="240" w:after="0"/>
        <w:ind w:hanging="0" w:start="0"/>
        <w:rPr>
          <w:sz w:val="26"/>
        </w:rPr>
      </w:pPr>
      <w:r>
        <w:rPr>
          <w:sz w:val="26"/>
        </w:rPr>
        <w:t>COMMENTS OF THE CALIFORNIA POWER EXCHANGE CORPORATION</w:t>
      </w:r>
    </w:p>
    <w:p>
      <w:pPr>
        <w:pStyle w:val="Normal"/>
        <w:jc w:val="center"/>
        <w:rPr>
          <w:b/>
          <w:bCs/>
          <w:sz w:val="26"/>
        </w:rPr>
      </w:pPr>
      <w:r>
        <w:rPr>
          <w:b/>
          <w:bCs/>
          <w:sz w:val="26"/>
        </w:rPr>
        <w:t>ON THE OFFER OF SETTLEMENT FILED BY THE OFFICIAL</w:t>
      </w:r>
    </w:p>
    <w:p>
      <w:pPr>
        <w:pStyle w:val="Heading4"/>
        <w:keepNext w:val="false"/>
        <w:ind w:hanging="0" w:start="0"/>
        <w:rPr>
          <w:sz w:val="26"/>
        </w:rPr>
      </w:pPr>
      <w:r>
        <w:rPr>
          <w:sz w:val="26"/>
        </w:rPr>
        <w:t>COMMITTEE OF PARTICIPANT CREDITORS</w:t>
      </w:r>
    </w:p>
    <w:p>
      <w:pPr>
        <w:pStyle w:val="Normal"/>
        <w:jc w:val="center"/>
        <w:rPr>
          <w:sz w:val="26"/>
        </w:rPr>
      </w:pPr>
      <w:r>
        <w:rPr>
          <w:sz w:val="26"/>
        </w:rPr>
      </w:r>
    </w:p>
    <w:p>
      <w:pPr>
        <w:pStyle w:val="Normal"/>
        <w:spacing w:lineRule="auto" w:line="480"/>
        <w:rPr/>
      </w:pPr>
      <w:r>
        <w:rPr/>
        <w:tab/>
        <w:t>The California Power Exchange Corporation (“CalPX”) files these comments pursuant to Section 385.602 of the Commission’s settlement regulations regarding the Offer of Settlement filed October 5, 2001 by the Official Committee of Participant Creditors (“Committee”).  The Offer of Settlement proposes an allocation methodology to address the problems created by defaults in CalPX's markets.  The Offer of Settlement also would establish a set-aside expense reserve of approximately $30-40 million to enable CalPX to fund the continuing functions for the time required to complete the wind-up of its operations, including maintaining and preserving relevant books and records, completing the settlement and billing process as required by the Commission, and prosecuting claims against third parties relevant to its operations for the two or three year period which the Committee estimates is needed to complete the wind-down.</w:t>
      </w:r>
    </w:p>
    <w:p>
      <w:pPr>
        <w:pStyle w:val="Normal"/>
        <w:spacing w:lineRule="auto" w:line="480"/>
        <w:rPr/>
      </w:pPr>
      <w:r>
        <w:rPr/>
        <w:tab/>
      </w:r>
      <w:r>
        <w:rPr>
          <w:u w:val="single"/>
        </w:rPr>
        <w:t>CalPX settlement responsibilities</w:t>
      </w:r>
      <w:r>
        <w:rPr/>
        <w:t xml:space="preserve">:  The Offer of Settlement would assign CalPX the following responsibilities.  Under its provisions, CalPX would </w:t>
      </w:r>
    </w:p>
    <w:p>
      <w:pPr>
        <w:pStyle w:val="Normal"/>
        <w:numPr>
          <w:ilvl w:val="0"/>
          <w:numId w:val="2"/>
        </w:numPr>
        <w:rPr/>
      </w:pPr>
      <w:r>
        <w:rPr/>
        <w:t xml:space="preserve">return chargeback payments to those participants who made them; </w:t>
      </w:r>
    </w:p>
    <w:p>
      <w:pPr>
        <w:pStyle w:val="Normal"/>
        <w:numPr>
          <w:ilvl w:val="0"/>
          <w:numId w:val="2"/>
        </w:numPr>
        <w:spacing w:before="240" w:after="0"/>
        <w:rPr/>
      </w:pPr>
      <w:r>
        <w:rPr/>
        <w:t xml:space="preserve">allocate any amounts due and shortfalls according to a net receivable formula described in the Offer of Settlement; </w:t>
      </w:r>
    </w:p>
    <w:p>
      <w:pPr>
        <w:pStyle w:val="Normal"/>
        <w:numPr>
          <w:ilvl w:val="0"/>
          <w:numId w:val="2"/>
        </w:numPr>
        <w:spacing w:before="240" w:after="0"/>
        <w:rPr/>
      </w:pPr>
      <w:r>
        <w:rPr/>
        <w:t xml:space="preserve">distribute cash to CalPX Participants according to the allocation formula; </w:t>
      </w:r>
    </w:p>
    <w:p>
      <w:pPr>
        <w:pStyle w:val="Normal"/>
        <w:numPr>
          <w:ilvl w:val="0"/>
          <w:numId w:val="2"/>
        </w:numPr>
        <w:spacing w:before="240" w:after="0"/>
        <w:rPr/>
      </w:pPr>
      <w:r>
        <w:rPr/>
        <w:t xml:space="preserve">distribute cash to an escrow holder in place of the California Independent System Operator Corporation (“CAISO”), which cash is then to be subsequently distributed to the appropriate Scheduling Coordinators according to the allocation formula; </w:t>
      </w:r>
    </w:p>
    <w:p>
      <w:pPr>
        <w:pStyle w:val="Normal"/>
        <w:numPr>
          <w:ilvl w:val="0"/>
          <w:numId w:val="2"/>
        </w:numPr>
        <w:spacing w:before="240" w:after="0"/>
        <w:rPr/>
      </w:pPr>
      <w:r>
        <w:rPr/>
        <w:t xml:space="preserve">distribute future collections according to the formula; </w:t>
      </w:r>
    </w:p>
    <w:p>
      <w:pPr>
        <w:pStyle w:val="Normal"/>
        <w:numPr>
          <w:ilvl w:val="0"/>
          <w:numId w:val="2"/>
        </w:numPr>
        <w:spacing w:before="240" w:after="0"/>
        <w:rPr/>
      </w:pPr>
      <w:r>
        <w:rPr/>
        <w:t xml:space="preserve">allocate and flow through any refunds from sellers required by the Commission in accordance with its directions; </w:t>
      </w:r>
    </w:p>
    <w:p>
      <w:pPr>
        <w:pStyle w:val="Normal"/>
        <w:numPr>
          <w:ilvl w:val="0"/>
          <w:numId w:val="2"/>
        </w:numPr>
        <w:spacing w:before="240" w:after="0"/>
        <w:rPr/>
      </w:pPr>
      <w:r>
        <w:rPr/>
        <w:t xml:space="preserve">return collateral still held by CalPX; </w:t>
      </w:r>
    </w:p>
    <w:p>
      <w:pPr>
        <w:pStyle w:val="Normal"/>
        <w:numPr>
          <w:ilvl w:val="0"/>
          <w:numId w:val="2"/>
        </w:numPr>
        <w:spacing w:before="240" w:after="0"/>
        <w:rPr/>
      </w:pPr>
      <w:r>
        <w:rPr/>
        <w:t xml:space="preserve">allocate claims against Pacific Gas and Electric Company (“PG&amp;E”) and Southern California Edison Company (“SCE”); and </w:t>
      </w:r>
    </w:p>
    <w:p>
      <w:pPr>
        <w:pStyle w:val="Normal"/>
        <w:numPr>
          <w:ilvl w:val="0"/>
          <w:numId w:val="2"/>
        </w:numPr>
        <w:spacing w:before="240" w:after="0"/>
        <w:rPr/>
      </w:pPr>
      <w:r>
        <w:rPr/>
        <w:t>provide information as required to the Committee to assist the Committee in litigation related to CalPX’s operations.</w:t>
      </w:r>
    </w:p>
    <w:p>
      <w:pPr>
        <w:pStyle w:val="Normal"/>
        <w:ind w:start="360" w:end="0"/>
        <w:rPr/>
      </w:pPr>
      <w:r>
        <w:rPr/>
      </w:r>
    </w:p>
    <w:p>
      <w:pPr>
        <w:pStyle w:val="BodyTextIndent2"/>
        <w:rPr/>
      </w:pPr>
      <w:r>
        <w:rPr/>
        <w:t>CalPX, which, as the Commission knows, has ceased to operate and is winding down its business affairs under the protection of the Bankruptcy Court, takes no official position (pro or con) with regard to the Offer of Settlement.  CalPX provides the following comments solely to assist the Commission and the parties in this proceeding in understanding the ability of CalPX to undertake the responsibilities which would be assigned to it if the Commission approves the Offer of Settlement.  Subject to funding conditions described below, it appears to CalPX that it would be able to accomplish those tasks required of CalPX in the Offer of Settlement if the Commission were to approve the Offer of Settlement.  CalPX is not aware of any significant obstacles that would prevent it from accomplishing the tasks required by the Offer of Settlement if the Commission issues an order approving it.</w:t>
      </w:r>
    </w:p>
    <w:p>
      <w:pPr>
        <w:pStyle w:val="Normal"/>
        <w:spacing w:lineRule="auto" w:line="480"/>
        <w:ind w:firstLine="720" w:end="0"/>
        <w:rPr/>
      </w:pPr>
      <w:r>
        <w:rPr>
          <w:u w:val="single"/>
        </w:rPr>
        <w:t>The set-aside expense reserve</w:t>
      </w:r>
      <w:r>
        <w:rPr/>
        <w:t>:   The Offer of Settlement’s estimate of the amount of funding and the time required to complete the winding down of CalPX’s business affairs is accurate based on CalPX’s current projections of expected work needed to be completed in connection with the refunds and pending litigation.  It is CalPX’s position that the set-aside expense reserve of $40 million would be sufficient to allow CalPX to draw funds from the reserve to pay its ongoing operations expenses while completing the remaining work on the refund issue and the ongoing litigation.  Any funds remaining in the expense reserve when the refund issue and litigation support work are completed would be returned to CalPX participants as directed by the Commission using whatever allocation methodology it orders.</w:t>
      </w:r>
      <w:r>
        <w:rPr>
          <w:rStyle w:val="FootnoteCharacters"/>
          <w:rStyle w:val="FootnoteReference"/>
        </w:rPr>
        <w:footnoteReference w:id="2"/>
      </w:r>
      <w:r>
        <w:rPr/>
        <w:t xml:space="preserve">  CalPX believes that it can, </w:t>
      </w:r>
      <w:r>
        <w:rPr>
          <w:b/>
          <w:i/>
          <w:u w:val="single"/>
        </w:rPr>
        <w:t>with the funding provided</w:t>
      </w:r>
      <w:r>
        <w:rPr/>
        <w:t>, accomplish the allocation methodological tasks required by the proposal in the Offer of Settlement if the Commission issues an order approving it.</w:t>
      </w:r>
    </w:p>
    <w:p>
      <w:pPr>
        <w:pStyle w:val="Normal"/>
        <w:spacing w:lineRule="auto" w:line="480"/>
        <w:ind w:firstLine="720" w:end="0"/>
        <w:rPr/>
      </w:pPr>
      <w:r>
        <w:rPr/>
        <w:t>The Commission should be aware that if it rejects the settlement, the Commission must still address the urgent issue of CalPX’s funding.  CalPX is the custodian of approximately $2.5 billion in receivables and cash assets and has liabilities that are equal to that amount.  CalPX is a party to numerous litigations before this Commission, in the State of California and in federal courts, including bankruptcy courts.  CalPX is also the custodian of extensive billing records that result from its management of its own day-ahead and day-of markets and its participation in the California ISO’s real-time markets as Scheduling Coordinator for the predominant amount of load in the State.  Its participation in the litigation, the maintenance of its information managements systems, its dissemination of information and its development of information in the format and detail required by the participants in the litigations over its assets and liabilities is at a cost which may appear small in light of the amounts at issue but which is nevertheless significant.</w:t>
      </w:r>
    </w:p>
    <w:p>
      <w:pPr>
        <w:pStyle w:val="Normal"/>
        <w:spacing w:lineRule="auto" w:line="480"/>
        <w:ind w:firstLine="720" w:end="0"/>
        <w:rPr/>
      </w:pPr>
      <w:r>
        <w:rPr/>
        <w:t>The Commission should understand that CalPX's need for ongoing funding is not caused by the Offer of Settlement but by its need to fulfill the responsibilities described immediately above involved with the winding down of its business.  If the Commission does not provide for an expense reserve to permit CalPX to continue paying its bills, CalPX estimates that it has sufficient resources to continue functioning until the end of this year.  At that point, CalPX would cease the process of winding down its business affairs and the Commission would then need to provide for some method and funding for resolving the issues outstanding and the work that needs to be completed pertaining to CalPX’s remaining operations.</w:t>
      </w:r>
      <w:r>
        <w:br w:type="page"/>
      </w:r>
    </w:p>
    <w:p>
      <w:pPr>
        <w:pStyle w:val="Normal"/>
        <w:spacing w:lineRule="auto" w:line="480"/>
        <w:jc w:val="center"/>
        <w:rPr>
          <w:b/>
          <w:bCs/>
          <w:smallCaps/>
          <w:sz w:val="28"/>
        </w:rPr>
      </w:pPr>
      <w:r>
        <w:rPr>
          <w:b/>
          <w:bCs/>
          <w:smallCaps/>
          <w:sz w:val="28"/>
          <w:u w:val="single"/>
        </w:rPr>
        <w:t>Conclusion</w:t>
      </w:r>
    </w:p>
    <w:p>
      <w:pPr>
        <w:pStyle w:val="Normal"/>
        <w:spacing w:lineRule="auto" w:line="480"/>
        <w:ind w:firstLine="720" w:end="0"/>
        <w:rPr/>
      </w:pPr>
      <w:r>
        <w:rPr/>
        <w:t>CalPX would be ready, willing and able to discharge the responsibilities that would be assigned to it if the Commission approves the Offer of Settlement and the funding mechanism which the Offer of Settlement creates.  If the Commission does not approve the Offer of Settlement, an alternate funding mechanism is required in order to sustain CalPX's operations beyond year-end to allow it to comply with the orders of the Commission.</w:t>
      </w:r>
    </w:p>
    <w:p>
      <w:pPr>
        <w:pStyle w:val="BodyTextIndent"/>
        <w:rPr/>
      </w:pPr>
      <w:r>
        <w:rPr/>
        <w:tab/>
        <w:tab/>
        <w:tab/>
        <w:tab/>
        <w:tab/>
        <w:tab/>
        <w:tab/>
        <w:tab/>
        <w:tab/>
        <w:tab/>
        <w:tab/>
        <w:tab/>
        <w:tab/>
        <w:tab/>
        <w:tab/>
        <w:tab/>
        <w:tab/>
        <w:tab/>
        <w:t>Respectfully submitted,</w:t>
      </w:r>
    </w:p>
    <w:p>
      <w:pPr>
        <w:pStyle w:val="Normal"/>
        <w:ind w:firstLine="720" w:end="0"/>
        <w:jc w:val="both"/>
        <w:rPr/>
      </w:pPr>
      <w:r>
        <w:rPr/>
      </w:r>
    </w:p>
    <w:p>
      <w:pPr>
        <w:pStyle w:val="Normal"/>
        <w:jc w:val="both"/>
        <w:rPr/>
      </w:pPr>
      <w:r>
        <w:rPr/>
        <w:tab/>
        <w:tab/>
        <w:tab/>
        <w:tab/>
        <w:tab/>
        <w:tab/>
        <w:t>BRUDER, GENTILE &amp; MARCOUX, L.L.P.</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___________________________________</w:t>
      </w:r>
    </w:p>
    <w:p>
      <w:pPr>
        <w:pStyle w:val="Normal"/>
        <w:ind w:firstLine="720" w:start="720" w:end="0"/>
        <w:jc w:val="both"/>
        <w:rPr/>
      </w:pPr>
      <w:r>
        <w:rPr/>
        <w:tab/>
        <w:tab/>
        <w:tab/>
        <w:tab/>
        <w:t>Carmen L. Gentile</w:t>
      </w:r>
    </w:p>
    <w:p>
      <w:pPr>
        <w:pStyle w:val="Normal"/>
        <w:jc w:val="both"/>
        <w:rPr/>
      </w:pPr>
      <w:r>
        <w:rPr/>
        <w:tab/>
        <w:tab/>
        <w:tab/>
        <w:tab/>
        <w:tab/>
        <w:tab/>
        <w:t>James H. McGrew</w:t>
      </w:r>
    </w:p>
    <w:p>
      <w:pPr>
        <w:pStyle w:val="Normal"/>
        <w:jc w:val="both"/>
        <w:rPr/>
      </w:pPr>
      <w:r>
        <w:rPr/>
      </w:r>
    </w:p>
    <w:p>
      <w:pPr>
        <w:pStyle w:val="Normal"/>
        <w:ind w:firstLine="720" w:end="0"/>
        <w:jc w:val="both"/>
        <w:rPr/>
      </w:pPr>
      <w:r>
        <w:rPr/>
        <w:tab/>
        <w:tab/>
        <w:tab/>
        <w:tab/>
        <w:tab/>
        <w:tab/>
        <w:t>1100 New York Avenue, N.W.</w:t>
      </w:r>
    </w:p>
    <w:p>
      <w:pPr>
        <w:pStyle w:val="Normal"/>
        <w:ind w:firstLine="720" w:start="1440" w:end="0"/>
        <w:jc w:val="both"/>
        <w:rPr/>
      </w:pPr>
      <w:r>
        <w:rPr/>
        <w:tab/>
        <w:tab/>
        <w:tab/>
        <w:tab/>
        <w:t>Suite 510 East</w:t>
      </w:r>
    </w:p>
    <w:p>
      <w:pPr>
        <w:pStyle w:val="Normal"/>
        <w:jc w:val="both"/>
        <w:rPr/>
      </w:pPr>
      <w:r>
        <w:rPr/>
        <w:tab/>
        <w:tab/>
        <w:tab/>
        <w:tab/>
        <w:tab/>
        <w:tab/>
        <w:tab/>
        <w:t>Washington, D.C. 20005-3934</w:t>
      </w:r>
    </w:p>
    <w:p>
      <w:pPr>
        <w:pStyle w:val="Normal"/>
        <w:jc w:val="both"/>
        <w:rPr/>
      </w:pPr>
      <w:r>
        <w:rPr/>
        <w:tab/>
        <w:tab/>
        <w:tab/>
        <w:tab/>
        <w:tab/>
        <w:tab/>
        <w:tab/>
        <w:t>Telephone: 202/783-1350</w:t>
      </w:r>
    </w:p>
    <w:p>
      <w:pPr>
        <w:pStyle w:val="Normal"/>
        <w:jc w:val="both"/>
        <w:rPr/>
      </w:pPr>
      <w:r>
        <w:rPr/>
        <w:tab/>
        <w:tab/>
        <w:tab/>
        <w:tab/>
        <w:tab/>
        <w:tab/>
        <w:tab/>
        <w:t>Facsimile: 202/737-9117</w:t>
      </w:r>
    </w:p>
    <w:p>
      <w:pPr>
        <w:pStyle w:val="Normal"/>
        <w:jc w:val="both"/>
        <w:rPr>
          <w:u w:val="single"/>
        </w:rPr>
      </w:pPr>
      <w:r>
        <w:rPr/>
        <w:tab/>
        <w:tab/>
        <w:tab/>
        <w:tab/>
        <w:tab/>
        <w:tab/>
        <w:tab/>
        <w:t xml:space="preserve">E-Mail: </w:t>
      </w:r>
      <w:hyperlink r:id="rId2">
        <w:r>
          <w:rPr>
            <w:rStyle w:val="Hyperlink"/>
          </w:rPr>
          <w:t>jhmcgrew@brudergentile.com</w:t>
        </w:r>
      </w:hyperlink>
    </w:p>
    <w:p>
      <w:pPr>
        <w:pStyle w:val="Normal"/>
        <w:spacing w:lineRule="auto" w:line="480"/>
        <w:rPr>
          <w:u w:val="single"/>
        </w:rPr>
      </w:pPr>
      <w:r>
        <w:rPr>
          <w:u w:val="single"/>
        </w:rPr>
      </w:r>
    </w:p>
    <w:p>
      <w:pPr>
        <w:sectPr>
          <w:headerReference w:type="default" r:id="rId3"/>
          <w:headerReference w:type="first" r:id="rId4"/>
          <w:footnotePr>
            <w:numFmt w:val="decimal"/>
          </w:footnotePr>
          <w:type w:val="nextPage"/>
          <w:pgSz w:w="12240" w:h="15840"/>
          <w:pgMar w:left="1440" w:right="1440" w:gutter="0" w:header="720" w:top="776" w:footer="0" w:bottom="1008"/>
          <w:pgNumType w:fmt="decimal"/>
          <w:formProt w:val="false"/>
          <w:titlePg/>
          <w:textDirection w:val="lrTb"/>
          <w:docGrid w:type="default" w:linePitch="254" w:charSpace="0"/>
        </w:sectPr>
        <w:pStyle w:val="Normal"/>
        <w:spacing w:lineRule="auto" w:line="480"/>
        <w:rPr/>
      </w:pPr>
      <w:r>
        <w:rPr/>
        <w:t>October 19, 2001</w:t>
      </w:r>
    </w:p>
    <w:p>
      <w:pPr>
        <w:pStyle w:val="Heading6"/>
        <w:ind w:hanging="0" w:start="0"/>
        <w:rPr>
          <w:sz w:val="28"/>
        </w:rPr>
      </w:pPr>
      <w:r>
        <w:rPr>
          <w:sz w:val="28"/>
        </w:rPr>
      </w:r>
    </w:p>
    <w:p>
      <w:pPr>
        <w:pStyle w:val="Normal"/>
        <w:rPr>
          <w:sz w:val="28"/>
        </w:rPr>
      </w:pPr>
      <w:r>
        <w:rPr>
          <w:sz w:val="28"/>
        </w:rPr>
      </w:r>
    </w:p>
    <w:p>
      <w:pPr>
        <w:pStyle w:val="Heading6"/>
        <w:ind w:hanging="0" w:start="0"/>
        <w:rPr>
          <w:sz w:val="28"/>
        </w:rPr>
      </w:pPr>
      <w:r>
        <w:rPr>
          <w:sz w:val="28"/>
        </w:rPr>
        <w:t>CERTIFICATE OF SERVICE</w:t>
      </w:r>
    </w:p>
    <w:p>
      <w:pPr>
        <w:pStyle w:val="Normal"/>
        <w:rPr>
          <w:b/>
          <w:sz w:val="28"/>
        </w:rPr>
      </w:pPr>
      <w:r>
        <w:rPr>
          <w:b/>
          <w:sz w:val="28"/>
        </w:rPr>
      </w:r>
    </w:p>
    <w:p>
      <w:pPr>
        <w:pStyle w:val="Normal"/>
        <w:spacing w:lineRule="auto" w:line="480"/>
        <w:rPr/>
      </w:pPr>
      <w:r>
        <w:rPr>
          <w:b/>
        </w:rPr>
        <w:tab/>
      </w:r>
      <w:r>
        <w:rPr/>
        <w:t>I hereby certify that I have this day served the foregoing document upon each person designated on the official service compiled by the Secretary in this proceeding.</w:t>
      </w:r>
    </w:p>
    <w:p>
      <w:pPr>
        <w:pStyle w:val="Normal"/>
        <w:spacing w:lineRule="auto" w:line="480"/>
        <w:rPr/>
      </w:pPr>
      <w:r>
        <w:rPr/>
        <w:tab/>
        <w:t>Dated at Washington, D.C. this 19</w:t>
      </w:r>
      <w:r>
        <w:rPr>
          <w:vertAlign w:val="superscript"/>
        </w:rPr>
        <w:t>th</w:t>
      </w:r>
      <w:r>
        <w:rPr/>
        <w:t xml:space="preserve"> day of October, 2001.</w:t>
      </w:r>
    </w:p>
    <w:p>
      <w:pPr>
        <w:pStyle w:val="Header"/>
        <w:tabs>
          <w:tab w:val="clear" w:pos="4320"/>
          <w:tab w:val="right" w:pos="9360" w:leader="none"/>
        </w:tabs>
        <w:rPr/>
      </w:pPr>
      <w:r>
        <w:rPr/>
      </w:r>
    </w:p>
    <w:p>
      <w:pPr>
        <w:pStyle w:val="Header"/>
        <w:tabs>
          <w:tab w:val="clear" w:pos="4320"/>
          <w:tab w:val="right" w:pos="9360" w:leader="none"/>
        </w:tabs>
        <w:rPr/>
      </w:pPr>
      <w:r>
        <w:rPr/>
      </w:r>
    </w:p>
    <w:p>
      <w:pPr>
        <w:pStyle w:val="Normal"/>
        <w:rPr/>
      </w:pPr>
      <w:r>
        <w:rPr/>
        <w:tab/>
        <w:tab/>
        <w:tab/>
        <w:tab/>
        <w:tab/>
        <w:tab/>
        <w:tab/>
      </w:r>
      <w:r>
        <w:rPr>
          <w:u w:val="single"/>
        </w:rPr>
        <w:t xml:space="preserve"> </w:t>
      </w:r>
    </w:p>
    <w:p>
      <w:pPr>
        <w:pStyle w:val="Header"/>
        <w:tabs>
          <w:tab w:val="clear" w:pos="4320"/>
          <w:tab w:val="right" w:pos="9360" w:leader="none"/>
        </w:tabs>
        <w:ind w:start="5760" w:end="0"/>
        <w:rPr/>
      </w:pPr>
      <w:r>
        <mc:AlternateContent>
          <mc:Choice Requires="wps">
            <w:drawing>
              <wp:anchor behindDoc="0" distT="0" distB="0" distL="114935" distR="114935" simplePos="0" locked="0" layoutInCell="1" allowOverlap="1" relativeHeight="9">
                <wp:simplePos x="0" y="0"/>
                <wp:positionH relativeFrom="column">
                  <wp:posOffset>3251835</wp:posOffset>
                </wp:positionH>
                <wp:positionV relativeFrom="paragraph">
                  <wp:posOffset>5080</wp:posOffset>
                </wp:positionV>
                <wp:extent cx="2628900" cy="0"/>
                <wp:effectExtent l="0" t="5080" r="0" b="5080"/>
                <wp:wrapNone/>
                <wp:docPr id="4" name=""/>
                <a:graphic xmlns:a="http://schemas.openxmlformats.org/drawingml/2006/main">
                  <a:graphicData uri="http://schemas.microsoft.com/office/word/2010/wordprocessingShape">
                    <wps:wsp>
                      <wps:cNvSpPr/>
                      <wps:spPr>
                        <a:xfrm>
                          <a:off x="0" y="0"/>
                          <a:ext cx="2629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6.05pt,0.4pt" to="463pt,0.4pt" stroked="t" o:allowincell="f" style="position:absolute">
                <v:stroke color="black" weight="9360" joinstyle="miter" endcap="flat"/>
                <v:fill o:detectmouseclick="t" on="false"/>
                <w10:wrap type="none"/>
              </v:line>
            </w:pict>
          </mc:Fallback>
        </mc:AlternateContent>
      </w:r>
      <w:r>
        <w:rPr/>
        <w:t>James H. McGrew</w:t>
        <w:tab/>
        <w:tab/>
        <w:tab/>
        <w:tab/>
        <w:tab/>
        <w:tab/>
        <w:tab/>
        <w:t>James H. McGrew</w:t>
      </w:r>
    </w:p>
    <w:p>
      <w:pPr>
        <w:pStyle w:val="Header"/>
        <w:tabs>
          <w:tab w:val="clear" w:pos="4320"/>
          <w:tab w:val="right" w:pos="9360" w:leader="none"/>
        </w:tabs>
        <w:rPr/>
      </w:pPr>
      <w:r>
        <w:rPr/>
      </w:r>
    </w:p>
    <w:p>
      <w:pPr>
        <w:pStyle w:val="Header"/>
        <w:tabs>
          <w:tab w:val="clear" w:pos="4320"/>
          <w:tab w:val="right" w:pos="9360" w:leader="none"/>
        </w:tabs>
        <w:rPr/>
      </w:pPr>
      <w:r>
        <w:rPr/>
      </w:r>
    </w:p>
    <w:p>
      <w:pPr>
        <w:pStyle w:val="Header"/>
        <w:tabs>
          <w:tab w:val="clear" w:pos="4320"/>
          <w:tab w:val="right" w:pos="9360" w:leader="none"/>
        </w:tabs>
        <w:rPr/>
      </w:pPr>
      <w:r>
        <w:rPr/>
      </w:r>
    </w:p>
    <w:p>
      <w:pPr>
        <w:pStyle w:val="Header"/>
        <w:tabs>
          <w:tab w:val="clear" w:pos="4320"/>
          <w:tab w:val="right" w:pos="9360" w:leader="none"/>
        </w:tabs>
        <w:rPr/>
      </w:pPr>
      <w:r>
        <w:rPr/>
      </w:r>
    </w:p>
    <w:p>
      <w:pPr>
        <w:pStyle w:val="Header"/>
        <w:tabs>
          <w:tab w:val="clear" w:pos="4320"/>
          <w:tab w:val="right" w:pos="9360" w:leader="none"/>
        </w:tabs>
        <w:rPr/>
      </w:pPr>
      <w:r>
        <w:rPr/>
      </w:r>
    </w:p>
    <w:p>
      <w:pPr>
        <w:pStyle w:val="Header"/>
        <w:tabs>
          <w:tab w:val="clear" w:pos="4320"/>
          <w:tab w:val="right" w:pos="9360" w:leader="none"/>
        </w:tabs>
        <w:rPr/>
      </w:pPr>
      <w:r>
        <w:rPr/>
      </w:r>
    </w:p>
    <w:p>
      <w:pPr>
        <w:pStyle w:val="Header"/>
        <w:tabs>
          <w:tab w:val="clear" w:pos="4320"/>
          <w:tab w:val="right" w:pos="9360" w:leader="none"/>
        </w:tabs>
        <w:rPr/>
      </w:pPr>
      <w:r>
        <w:rPr/>
      </w:r>
    </w:p>
    <w:p>
      <w:pPr>
        <w:pStyle w:val="Header"/>
        <w:tabs>
          <w:tab w:val="clear" w:pos="4320"/>
          <w:tab w:val="right" w:pos="9360" w:leader="none"/>
        </w:tabs>
        <w:rPr/>
      </w:pPr>
      <w:r>
        <w:rPr/>
      </w:r>
    </w:p>
    <w:p>
      <w:pPr>
        <w:pStyle w:val="Header"/>
        <w:tabs>
          <w:tab w:val="clear" w:pos="4320"/>
          <w:tab w:val="right" w:pos="9360" w:leader="none"/>
        </w:tabs>
        <w:rPr/>
      </w:pPr>
      <w:r>
        <w:rPr/>
      </w:r>
    </w:p>
    <w:p>
      <w:pPr>
        <w:pStyle w:val="Header"/>
        <w:tabs>
          <w:tab w:val="clear" w:pos="4320"/>
          <w:tab w:val="right" w:pos="9360" w:leader="none"/>
        </w:tabs>
        <w:rPr/>
      </w:pPr>
      <w:r>
        <w:rPr/>
        <w:t>Bruder, Gentile &amp; Marcoux, L.L.P.</w:t>
      </w:r>
    </w:p>
    <w:p>
      <w:pPr>
        <w:pStyle w:val="Header"/>
        <w:tabs>
          <w:tab w:val="clear" w:pos="4320"/>
          <w:tab w:val="right" w:pos="9360" w:leader="none"/>
        </w:tabs>
        <w:rPr/>
      </w:pPr>
      <w:r>
        <w:rPr/>
        <w:t>1100 New York Avenue, N.W.</w:t>
      </w:r>
    </w:p>
    <w:p>
      <w:pPr>
        <w:pStyle w:val="Header"/>
        <w:tabs>
          <w:tab w:val="clear" w:pos="4320"/>
          <w:tab w:val="right" w:pos="9360" w:leader="none"/>
        </w:tabs>
        <w:rPr/>
      </w:pPr>
      <w:r>
        <w:rPr/>
        <w:t>Suite 510 East</w:t>
      </w:r>
    </w:p>
    <w:p>
      <w:pPr>
        <w:pStyle w:val="Header"/>
        <w:tabs>
          <w:tab w:val="clear" w:pos="4320"/>
          <w:tab w:val="right" w:pos="9360" w:leader="none"/>
        </w:tabs>
        <w:rPr/>
      </w:pPr>
      <w:r>
        <w:rPr/>
        <w:t>Washington, D.C. 20005-3934</w:t>
      </w:r>
    </w:p>
    <w:p>
      <w:pPr>
        <w:pStyle w:val="Header"/>
        <w:tabs>
          <w:tab w:val="clear" w:pos="4320"/>
          <w:tab w:val="right" w:pos="9360" w:leader="none"/>
        </w:tabs>
        <w:rPr/>
      </w:pPr>
      <w:r>
        <w:rPr/>
        <w:t>Telephone: 202/783-1350</w:t>
      </w:r>
    </w:p>
    <w:p>
      <w:pPr>
        <w:pStyle w:val="Header"/>
        <w:tabs>
          <w:tab w:val="clear" w:pos="4320"/>
          <w:tab w:val="right" w:pos="9360" w:leader="none"/>
        </w:tabs>
        <w:rPr/>
      </w:pPr>
      <w:r>
        <w:rPr/>
        <w:t>Facsimile: 202/737-9117</w:t>
      </w:r>
    </w:p>
    <w:p>
      <w:pPr>
        <w:pStyle w:val="Header"/>
        <w:tabs>
          <w:tab w:val="clear" w:pos="4320"/>
          <w:tab w:val="right" w:pos="9360" w:leader="none"/>
        </w:tabs>
        <w:rPr/>
      </w:pPr>
      <w:r>
        <w:rPr/>
        <w:t xml:space="preserve">E-Mail: jhmcgrew@brudergentile.com </w:t>
      </w:r>
    </w:p>
    <w:p>
      <w:pPr>
        <w:pStyle w:val="Header"/>
        <w:tabs>
          <w:tab w:val="clear" w:pos="4320"/>
          <w:tab w:val="right" w:pos="9360" w:leader="none"/>
        </w:tabs>
        <w:rPr/>
      </w:pPr>
      <w:r>
        <w:rPr/>
      </w:r>
    </w:p>
    <w:p>
      <w:pPr>
        <w:pStyle w:val="Header"/>
        <w:tabs>
          <w:tab w:val="clear" w:pos="4320"/>
          <w:tab w:val="right" w:pos="9360" w:leader="none"/>
        </w:tabs>
        <w:rPr/>
      </w:pPr>
      <w:r>
        <w:rPr/>
        <w:t>Counsel for California Power Exchange Corporation</w:t>
      </w:r>
    </w:p>
    <w:p>
      <w:pPr>
        <w:pStyle w:val="Header"/>
        <w:tabs>
          <w:tab w:val="clear" w:pos="4320"/>
          <w:tab w:val="right" w:pos="9360" w:leader="none"/>
        </w:tabs>
        <w:rPr/>
      </w:pPr>
      <w:r>
        <w:rPr/>
      </w:r>
    </w:p>
    <w:p>
      <w:pPr>
        <w:pStyle w:val="Normal"/>
        <w:spacing w:lineRule="auto" w:line="480"/>
        <w:rPr>
          <w:sz w:val="16"/>
        </w:rPr>
      </w:pPr>
      <w:r>
        <w:rPr>
          <w:sz w:val="16"/>
        </w:rPr>
        <w:fldChar w:fldCharType="begin"/>
      </w:r>
      <w:r>
        <w:rPr>
          <w:sz w:val="16"/>
        </w:rPr>
        <w:instrText xml:space="preserve"> FILENAME \p </w:instrText>
      </w:r>
      <w:r>
        <w:rPr>
          <w:sz w:val="16"/>
        </w:rPr>
        <w:fldChar w:fldCharType="separate"/>
      </w:r>
      <w:r>
        <w:rPr>
          <w:sz w:val="16"/>
        </w:rPr>
        <w:t>/mnt/main-storage/datasets/enron-docs/doc/BLF0712.DOC</w:t>
      </w:r>
      <w:r>
        <w:rPr>
          <w:sz w:val="16"/>
        </w:rPr>
        <w:fldChar w:fldCharType="end"/>
      </w:r>
    </w:p>
    <w:sectPr>
      <w:headerReference w:type="default" r:id="rId5"/>
      <w:headerReference w:type="first" r:id="rId6"/>
      <w:footnotePr>
        <w:numFmt w:val="decimal"/>
      </w:footnotePr>
      <w:type w:val="nextPage"/>
      <w:pgSz w:w="12240" w:h="15840"/>
      <w:pgMar w:left="1440" w:right="1440" w:gutter="0" w:header="720" w:top="776" w:footer="0" w:bottom="1152"/>
      <w:pgNumType w:fmt="decimal"/>
      <w:formProt w:val="false"/>
      <w:titlePg/>
      <w:textDirection w:val="lrTb"/>
      <w:docGrid w:type="default" w:linePitch="2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 xml:space="preserve">Because of the urgency of CalPX's needs for operating funds, it recently filed a motion with the United States District Court for the Central District of California in Case Nos. 01-00901 CM </w:t>
      </w:r>
      <w:r>
        <w:rPr>
          <w:i/>
          <w:iCs/>
        </w:rPr>
        <w:t>et al.</w:t>
      </w:r>
      <w:r>
        <w:rPr/>
        <w:t xml:space="preserve"> for permission to draw approximately $10 million from the settlements clearing escrow account to reimburse CalPX for expenses and costs already incurred.  To the extent that the court grants CalPX's motion, it will not “double recover” its expenses from any set-aside expense reserve authorized by this Commission.  CalPX seeks only to provide for its actual expenses.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t xml:space="preserve">Docket Nos. EL00-95-000, </w:t>
    </w:r>
    <w:r>
      <w:rPr>
        <w:i/>
        <w:iCs/>
      </w:rPr>
      <w:t>et al.</w:t>
    </w:r>
    <w:r>
      <w:rPr/>
      <w:t xml:space="preserve"> </w:t>
      <w:tab/>
      <w:tab/>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tab/>
    </w:r>
  </w:p>
  <w:p>
    <w:pPr>
      <w:pStyle w:val="Header"/>
      <w:rPr>
        <w:lang w:val="en-CA" w:eastAsia="en-CA"/>
      </w:rPr>
    </w:pPr>
    <w:r>
      <w:rPr>
        <w:lang w:val="en-CA" w:eastAsia="en-CA"/>
      </w:rPr>
      <mc:AlternateContent>
        <mc:Choice Requires="wps">
          <w:drawing>
            <wp:anchor behindDoc="1" distT="0" distB="0" distL="114935" distR="114935" simplePos="0" locked="0" layoutInCell="1" allowOverlap="1" relativeHeight="6">
              <wp:simplePos x="0" y="0"/>
              <wp:positionH relativeFrom="column">
                <wp:posOffset>0</wp:posOffset>
              </wp:positionH>
              <wp:positionV relativeFrom="paragraph">
                <wp:posOffset>99060</wp:posOffset>
              </wp:positionV>
              <wp:extent cx="5943600" cy="0"/>
              <wp:effectExtent l="0" t="19050" r="0" b="19050"/>
              <wp:wrapNone/>
              <wp:docPr id="3" name=""/>
              <a:graphic xmlns:a="http://schemas.openxmlformats.org/drawingml/2006/main">
                <a:graphicData uri="http://schemas.microsoft.com/office/word/2010/wordprocessingShape">
                  <wps:wsp>
                    <wps:cNvSpPr/>
                    <wps:spPr>
                      <a:xfrm>
                        <a:off x="0" y="0"/>
                        <a:ext cx="59436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7.8pt" to="467.95pt,7.8pt" stroked="t" o:allowincell="f" style="position:absolute">
              <v:stroke color="black" weight="38160" joinstyle="miter" endcap="flat"/>
              <v:fill o:detectmouseclick="t" on="false"/>
              <w10:wrap type="none"/>
            </v:line>
          </w:pict>
        </mc:Fallback>
      </mc:AlternateConten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t xml:space="preserve">Docket Nos. EL00-95-000, </w:t>
    </w:r>
    <w:r>
      <w:rPr>
        <w:i/>
        <w:iCs/>
      </w:rPr>
      <w:t>et al.</w:t>
    </w:r>
    <w:r>
      <w:rPr/>
      <w:t xml:space="preserve"> </w:t>
      <w:tab/>
      <w:tab/>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ab/>
      <w:tab/>
    </w:r>
  </w:p>
  <w:p>
    <w:pPr>
      <w:pStyle w:val="Header"/>
      <w:rPr>
        <w:lang w:val="en-CA" w:eastAsia="en-CA"/>
      </w:rPr>
    </w:pPr>
    <w:r>
      <w:rPr>
        <w:lang w:val="en-CA" w:eastAsia="en-CA"/>
      </w:rPr>
      <mc:AlternateContent>
        <mc:Choice Requires="wps">
          <w:drawing>
            <wp:anchor behindDoc="1" distT="0" distB="0" distL="114935" distR="114935" simplePos="0" locked="0" layoutInCell="1" allowOverlap="1" relativeHeight="10">
              <wp:simplePos x="0" y="0"/>
              <wp:positionH relativeFrom="column">
                <wp:posOffset>0</wp:posOffset>
              </wp:positionH>
              <wp:positionV relativeFrom="paragraph">
                <wp:posOffset>99060</wp:posOffset>
              </wp:positionV>
              <wp:extent cx="5943600" cy="0"/>
              <wp:effectExtent l="0" t="19050" r="0" b="19050"/>
              <wp:wrapNone/>
              <wp:docPr id="5" name=""/>
              <a:graphic xmlns:a="http://schemas.openxmlformats.org/drawingml/2006/main">
                <a:graphicData uri="http://schemas.microsoft.com/office/word/2010/wordprocessingShape">
                  <wps:wsp>
                    <wps:cNvSpPr/>
                    <wps:spPr>
                      <a:xfrm>
                        <a:off x="0" y="0"/>
                        <a:ext cx="59436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7.8pt" to="467.95pt,7.8pt" stroked="t" o:allowincell="f" style="position:absolute">
              <v:stroke color="black" weight="38160" joinstyle="miter" endcap="flat"/>
              <v:fill o:detectmouseclick="t" on="false"/>
              <w10:wrap type="none"/>
            </v:line>
          </w:pict>
        </mc:Fallback>
      </mc:AlternateConten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cs="Arial"/>
      <w:b/>
      <w:bCs/>
      <w:smallCaps/>
      <w:kern w:val="2"/>
      <w:sz w:val="28"/>
      <w:szCs w:val="32"/>
    </w:rPr>
  </w:style>
  <w:style w:type="paragraph" w:styleId="Heading2">
    <w:name w:val="heading 2"/>
    <w:basedOn w:val="Normal"/>
    <w:next w:val="Normal"/>
    <w:qFormat/>
    <w:pPr>
      <w:keepNext w:val="true"/>
      <w:numPr>
        <w:ilvl w:val="1"/>
        <w:numId w:val="1"/>
      </w:numPr>
      <w:ind w:firstLine="720" w:start="0" w:end="0"/>
      <w:outlineLvl w:val="1"/>
    </w:pPr>
    <w:rPr>
      <w:rFonts w:cs="Arial"/>
      <w:b/>
      <w:bCs/>
      <w:iCs/>
      <w:smallCaps/>
      <w:sz w:val="26"/>
      <w:szCs w:val="28"/>
    </w:rPr>
  </w:style>
  <w:style w:type="paragraph" w:styleId="Heading3">
    <w:name w:val="heading 3"/>
    <w:basedOn w:val="Normal"/>
    <w:next w:val="Normal"/>
    <w:qFormat/>
    <w:pPr>
      <w:keepNext w:val="true"/>
      <w:numPr>
        <w:ilvl w:val="2"/>
        <w:numId w:val="1"/>
      </w:numPr>
      <w:ind w:firstLine="1440" w:start="0" w:end="0"/>
      <w:outlineLvl w:val="2"/>
    </w:pPr>
    <w:rPr>
      <w:rFonts w:cs="Arial"/>
      <w:b/>
      <w:bCs/>
      <w:smallCaps/>
      <w:szCs w:val="26"/>
    </w:rPr>
  </w:style>
  <w:style w:type="paragraph" w:styleId="Heading4">
    <w:name w:val="heading 4"/>
    <w:basedOn w:val="Normal"/>
    <w:next w:val="Normal"/>
    <w:qFormat/>
    <w:pPr>
      <w:keepNext w:val="true"/>
      <w:numPr>
        <w:ilvl w:val="3"/>
        <w:numId w:val="1"/>
      </w:numPr>
      <w:jc w:val="center"/>
      <w:outlineLvl w:val="3"/>
    </w:pPr>
    <w:rPr>
      <w:b/>
      <w:bCs/>
    </w:rPr>
  </w:style>
  <w:style w:type="paragraph" w:styleId="Heading5">
    <w:name w:val="heading 5"/>
    <w:basedOn w:val="Normal"/>
    <w:next w:val="Normal"/>
    <w:qFormat/>
    <w:pPr>
      <w:keepNext w:val="true"/>
      <w:numPr>
        <w:ilvl w:val="4"/>
        <w:numId w:val="1"/>
      </w:numPr>
      <w:tabs>
        <w:tab w:val="clear" w:pos="720"/>
        <w:tab w:val="center" w:pos="4680" w:leader="none"/>
        <w:tab w:val="right" w:pos="9360" w:leader="none"/>
      </w:tabs>
      <w:jc w:val="both"/>
      <w:outlineLvl w:val="4"/>
    </w:pPr>
    <w:rPr>
      <w:b/>
      <w:bCs/>
      <w:smallCaps/>
    </w:rPr>
  </w:style>
  <w:style w:type="paragraph" w:styleId="Heading6">
    <w:name w:val="heading 6"/>
    <w:basedOn w:val="Normal"/>
    <w:next w:val="Normal"/>
    <w:qFormat/>
    <w:pPr>
      <w:keepNext w:val="true"/>
      <w:numPr>
        <w:ilvl w:val="5"/>
        <w:numId w:val="1"/>
      </w:numPr>
      <w:jc w:val="center"/>
      <w:outlineLvl w:val="5"/>
    </w:pPr>
    <w:rPr>
      <w:b/>
    </w:rPr>
  </w:style>
  <w:style w:type="paragraph" w:styleId="Heading7">
    <w:name w:val="heading 7"/>
    <w:basedOn w:val="Normal"/>
    <w:next w:val="Normal"/>
    <w:qFormat/>
    <w:pPr>
      <w:keepNext w:val="true"/>
      <w:numPr>
        <w:ilvl w:val="6"/>
        <w:numId w:val="1"/>
      </w:numPr>
      <w:outlineLvl w:val="6"/>
    </w:pPr>
    <w:rPr>
      <w:b/>
      <w:bCs/>
      <w:smallCap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rFonts w:ascii="Arial" w:hAnsi="Arial" w:cs="Arial"/>
      <w:sz w:val="20"/>
      <w:u w:val="single"/>
      <w:vertAlign w:val="superscript"/>
    </w:rPr>
  </w:style>
  <w:style w:type="character" w:styleId="PageNumber">
    <w:name w:val="page number"/>
    <w:basedOn w:val="DefaultParagraphFont"/>
    <w:rPr>
      <w:rFonts w:ascii="Arial" w:hAnsi="Arial" w:cs="Arial"/>
      <w:sz w:val="24"/>
    </w:rPr>
  </w:style>
  <w:style w:type="character" w:styleId="LineNumber">
    <w:name w:val="line number"/>
    <w:basedOn w:val="DefaultParagraphFont"/>
    <w:rPr>
      <w:rFonts w:ascii="Arial" w:hAnsi="Arial" w:cs="Arial"/>
      <w:sz w:val="24"/>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keepLines/>
      <w:tabs>
        <w:tab w:val="clear" w:pos="720"/>
        <w:tab w:val="left" w:pos="432" w:leader="none"/>
      </w:tabs>
      <w:ind w:hanging="432" w:start="432"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style>
  <w:style w:type="paragraph" w:styleId="BodyTextIndent">
    <w:name w:val="Body Text Indent"/>
    <w:basedOn w:val="Normal"/>
    <w:pPr>
      <w:ind w:firstLine="720" w:start="0" w:end="0"/>
      <w:jc w:val="both"/>
    </w:pPr>
    <w:rPr/>
  </w:style>
  <w:style w:type="paragraph" w:styleId="BodyTextIndent2">
    <w:name w:val="Body Text Indent 2"/>
    <w:basedOn w:val="Normal"/>
    <w:qFormat/>
    <w:pPr>
      <w:spacing w:lineRule="auto" w:line="480"/>
      <w:ind w:firstLine="72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hmcgrew@brudergentile.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2001-10-19T12:00:00Z</dcterms:created>
  <dc:creator>James H. McGrew</dc:creator>
  <dc:description/>
  <dc:language>en-CA</dc:language>
  <cp:lastModifiedBy>blfetherolf</cp:lastModifiedBy>
  <cp:lastPrinted>2001-10-19T10:30:00Z</cp:lastPrinted>
  <dcterms:modified xsi:type="dcterms:W3CDTF">2001-10-19T12:00:00Z</dcterms:modified>
  <cp:revision>2</cp:revision>
  <dc:subject/>
  <dc:title>CalPX's Initial Comments on Settlement  (BLF0712.DOC;1)</dc:title>
</cp:coreProperties>
</file>