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mallCaps/>
          <w:sz w:val="24"/>
        </w:rPr>
      </w:pPr>
      <w:r>
        <w:rPr>
          <w:rFonts w:cs="Arial" w:ascii="Arial" w:hAnsi="Arial"/>
          <w:smallCaps/>
          <w:sz w:val="24"/>
        </w:rPr>
      </w:r>
    </w:p>
    <w:p>
      <w:pPr>
        <w:pStyle w:val="Heading"/>
        <w:rPr>
          <w:rFonts w:ascii="Arial" w:hAnsi="Arial" w:cs="Arial"/>
          <w:smallCaps/>
          <w:sz w:val="24"/>
        </w:rPr>
      </w:pPr>
      <w:r>
        <w:rPr>
          <w:rFonts w:cs="Arial" w:ascii="Arial" w:hAnsi="Arial"/>
          <w:smallCaps/>
          <w:sz w:val="24"/>
        </w:rPr>
      </w:r>
    </w:p>
    <w:p>
      <w:pPr>
        <w:pStyle w:val="Heading"/>
        <w:rPr>
          <w:rFonts w:ascii="Arial" w:hAnsi="Arial" w:cs="Arial"/>
          <w:smallCaps/>
          <w:sz w:val="24"/>
        </w:rPr>
      </w:pPr>
      <w:r>
        <w:rPr>
          <w:rFonts w:cs="Arial" w:ascii="Arial" w:hAnsi="Arial"/>
          <w:smallCaps/>
          <w:sz w:val="24"/>
        </w:rPr>
      </w:r>
    </w:p>
    <w:p>
      <w:pPr>
        <w:pStyle w:val="Heading"/>
        <w:rPr>
          <w:rFonts w:ascii="Arial" w:hAnsi="Arial" w:cs="Arial"/>
          <w:smallCaps/>
        </w:rPr>
      </w:pPr>
      <w:r>
        <w:rPr>
          <w:rFonts w:cs="Arial" w:ascii="Arial" w:hAnsi="Arial"/>
          <w:smallCaps/>
        </w:rPr>
        <w:t>Explanation and Commentary on</w:t>
      </w:r>
    </w:p>
    <w:p>
      <w:pPr>
        <w:pStyle w:val="Normal"/>
        <w:jc w:val="center"/>
        <w:rPr>
          <w:rFonts w:ascii="Arial" w:hAnsi="Arial" w:cs="Arial"/>
          <w:b/>
          <w:smallCaps/>
          <w:sz w:val="28"/>
        </w:rPr>
      </w:pPr>
      <w:r>
        <w:rPr>
          <w:rFonts w:cs="Arial" w:ascii="Arial" w:hAnsi="Arial"/>
          <w:b/>
          <w:smallCaps/>
          <w:sz w:val="28"/>
        </w:rPr>
        <w:t xml:space="preserve">the Model Interconnection Procedures and </w:t>
      </w:r>
    </w:p>
    <w:p>
      <w:pPr>
        <w:pStyle w:val="Normal"/>
        <w:jc w:val="center"/>
        <w:rPr>
          <w:rFonts w:ascii="Arial" w:hAnsi="Arial" w:cs="Arial"/>
          <w:b/>
          <w:smallCaps/>
          <w:sz w:val="28"/>
        </w:rPr>
      </w:pPr>
      <w:r>
        <w:rPr>
          <w:rFonts w:cs="Arial" w:ascii="Arial" w:hAnsi="Arial"/>
          <w:b/>
          <w:smallCaps/>
          <w:sz w:val="28"/>
        </w:rPr>
        <w:t>the Model Interconnection and Operating Agreement</w:t>
      </w:r>
    </w:p>
    <w:p>
      <w:pPr>
        <w:pStyle w:val="Normal"/>
        <w:rPr>
          <w:rFonts w:ascii="Arial" w:hAnsi="Arial" w:cs="Arial"/>
          <w:b/>
          <w:smallCaps/>
          <w:sz w:val="28"/>
        </w:rPr>
      </w:pPr>
      <w:r>
        <w:rPr>
          <w:rFonts w:cs="Arial" w:ascii="Arial" w:hAnsi="Arial"/>
          <w:b/>
          <w:smallCaps/>
          <w:sz w:val="28"/>
        </w:rPr>
      </w:r>
    </w:p>
    <w:p>
      <w:pPr>
        <w:pStyle w:val="BodyText"/>
        <w:rPr>
          <w:rFonts w:ascii="Arial" w:hAnsi="Arial" w:cs="Arial"/>
          <w:b/>
          <w:smallCaps/>
          <w:sz w:val="28"/>
        </w:rPr>
      </w:pPr>
      <w:r>
        <w:rPr>
          <w:rFonts w:cs="Arial" w:ascii="Arial" w:hAnsi="Arial"/>
          <w:b/>
          <w:smallCaps/>
          <w:sz w:val="28"/>
        </w:rPr>
        <w:t xml:space="preserve">Introduction </w:t>
      </w:r>
    </w:p>
    <w:p>
      <w:pPr>
        <w:pStyle w:val="BodyText"/>
        <w:rPr>
          <w:rFonts w:ascii="Arial" w:hAnsi="Arial" w:cs="Arial"/>
          <w:b/>
          <w:smallCaps/>
          <w:sz w:val="28"/>
        </w:rPr>
      </w:pPr>
      <w:r>
        <w:rPr>
          <w:rFonts w:cs="Arial" w:ascii="Arial" w:hAnsi="Arial"/>
          <w:b/>
          <w:smallCaps/>
          <w:sz w:val="28"/>
        </w:rPr>
      </w:r>
    </w:p>
    <w:p>
      <w:pPr>
        <w:pStyle w:val="BodyText"/>
        <w:rPr>
          <w:rFonts w:ascii="Arial" w:hAnsi="Arial" w:cs="Arial"/>
        </w:rPr>
      </w:pPr>
      <w:r>
        <w:rPr>
          <w:rFonts w:cs="Arial" w:ascii="Arial" w:hAnsi="Arial"/>
        </w:rPr>
        <w:tab/>
        <w:t xml:space="preserve">The Model Interconnection Procedures were developed based on procedures and agreements that individual transmission owners and Regional Transmission Organizations have filed with the FERC.  The Model Interconnection and Operating Agreement was developed based on forms of agreement negotiated between individual generators and transmission owners and Regional Transmission Organizations.  Many of these forms have been filed with the FERC.  Every effort has been made to adopt the “best practices” from those documents and to incorporate the FERC’s current policies as established in its orders.  Additionally, every effort has been made to recognize the new “best practices” being developed by the industry as well as new policy directions being articulated by the FERC, but which may not yet be reflected in current FERC precedent. </w:t>
      </w:r>
    </w:p>
    <w:p>
      <w:pPr>
        <w:pStyle w:val="BodyText"/>
        <w:rPr>
          <w:rFonts w:ascii="Arial" w:hAnsi="Arial" w:cs="Arial"/>
        </w:rPr>
      </w:pPr>
      <w:r>
        <w:rPr>
          <w:rFonts w:cs="Arial" w:ascii="Arial" w:hAnsi="Arial"/>
        </w:rPr>
      </w:r>
    </w:p>
    <w:p>
      <w:pPr>
        <w:pStyle w:val="BodyText"/>
        <w:ind w:firstLine="720" w:end="0"/>
        <w:rPr>
          <w:rFonts w:ascii="Arial" w:hAnsi="Arial" w:cs="Arial"/>
          <w:b/>
          <w:smallCaps/>
          <w:sz w:val="28"/>
        </w:rPr>
      </w:pPr>
      <w:r>
        <w:rPr>
          <w:rFonts w:cs="Arial" w:ascii="Arial" w:hAnsi="Arial"/>
        </w:rPr>
        <w:t xml:space="preserve">In an effort to develop a truly balanced set of interconnection procedures and agreement and to protect against the possibility that the procedures and agreement might be biased against either RTOs or Generators, two separate teams of drafters were assigned the task of jointly developing these documents.  One group of drafters represented the interests of RTOs and the other group of drafters represented the interests of Generators.  Both groups were assigned the task of developing balanced documents that could be adopted as an industry standard.  Each group of drafters attempted to represent the positions of its interest group fully and fairly, without taking extreme positions that would result in undue advantage or disadvantage to the other side.  As a result of this collaborative process, both groups of drafters believe that the attached procedures and agreement are a viable basis on which to begin the dialogue concerning the standardization of generator interconnection procedures and interconnection and operating agreements. </w:t>
      </w:r>
    </w:p>
    <w:p>
      <w:pPr>
        <w:pStyle w:val="BodyText"/>
        <w:rPr>
          <w:rFonts w:ascii="Arial" w:hAnsi="Arial" w:cs="Arial"/>
          <w:b/>
          <w:smallCaps/>
          <w:sz w:val="28"/>
        </w:rPr>
      </w:pPr>
      <w:r>
        <w:rPr>
          <w:rFonts w:cs="Arial" w:ascii="Arial" w:hAnsi="Arial"/>
          <w:b/>
          <w:smallCaps/>
          <w:sz w:val="28"/>
        </w:rPr>
      </w:r>
    </w:p>
    <w:p>
      <w:pPr>
        <w:pStyle w:val="BodyText"/>
        <w:rPr>
          <w:rFonts w:ascii="Arial" w:hAnsi="Arial" w:cs="Arial"/>
          <w:b/>
          <w:smallCaps/>
          <w:sz w:val="28"/>
        </w:rPr>
      </w:pPr>
      <w:r>
        <w:rPr>
          <w:rFonts w:cs="Arial" w:ascii="Arial" w:hAnsi="Arial"/>
          <w:b/>
          <w:smallCaps/>
          <w:sz w:val="28"/>
        </w:rPr>
        <w:t>Model Procedures</w:t>
      </w:r>
    </w:p>
    <w:p>
      <w:pPr>
        <w:pStyle w:val="BodyText"/>
        <w:ind w:firstLine="720" w:end="0"/>
        <w:rPr>
          <w:rFonts w:ascii="Arial" w:hAnsi="Arial" w:cs="Arial"/>
          <w:b/>
          <w:smallCaps/>
          <w:sz w:val="28"/>
        </w:rPr>
      </w:pPr>
      <w:r>
        <w:rPr>
          <w:rFonts w:cs="Arial" w:ascii="Arial" w:hAnsi="Arial"/>
          <w:b/>
          <w:smallCaps/>
          <w:sz w:val="28"/>
        </w:rPr>
      </w:r>
    </w:p>
    <w:p>
      <w:pPr>
        <w:pStyle w:val="BodyText"/>
        <w:ind w:firstLine="720" w:end="0"/>
        <w:rPr>
          <w:rFonts w:ascii="Arial" w:hAnsi="Arial" w:cs="Arial"/>
        </w:rPr>
      </w:pPr>
      <w:r>
        <w:rPr>
          <w:rFonts w:cs="Arial" w:ascii="Arial" w:hAnsi="Arial"/>
        </w:rPr>
        <w:t>The Model Interconnection Procedures are intended to be used by all Regional Transmission Organizations in processing requests to interconnect new generators with the Transmission System and requests by existing generators to increase their generating capacity.  They are intended to provide for the processing of interconnection requests as quickly and efficiently as possible, consistent with the need to accommodate the RTO’s ability to process multiple requests and the Generators’ need to have sufficient time to evaluate the information it receives from the RTO and decide whether to continue to proceed toward the completion of its interconnection.  Commentary on specific sections of the Model Interconnection Procedures are set out below.</w:t>
      </w:r>
    </w:p>
    <w:p>
      <w:pPr>
        <w:pStyle w:val="BodyText"/>
        <w:rPr>
          <w:rFonts w:ascii="Arial" w:hAnsi="Arial" w:cs="Arial"/>
        </w:rPr>
      </w:pPr>
      <w:r>
        <w:rPr>
          <w:rFonts w:cs="Arial" w:ascii="Arial" w:hAnsi="Arial"/>
        </w:rPr>
      </w:r>
    </w:p>
    <w:p>
      <w:pPr>
        <w:pStyle w:val="Heading1"/>
        <w:ind w:firstLine="720" w:start="0" w:end="0"/>
        <w:rPr>
          <w:sz w:val="26"/>
        </w:rPr>
      </w:pPr>
      <w:r>
        <w:rPr>
          <w:sz w:val="26"/>
        </w:rPr>
        <w:t xml:space="preserve">Coordination with Adjacent Systems – Section 3.4 </w:t>
      </w:r>
    </w:p>
    <w:p>
      <w:pPr>
        <w:pStyle w:val="Normal"/>
        <w:rPr>
          <w:rFonts w:ascii="Arial" w:hAnsi="Arial" w:cs="Arial"/>
          <w:b/>
          <w:sz w:val="24"/>
        </w:rPr>
      </w:pPr>
      <w:r>
        <w:rPr>
          <w:rFonts w:cs="Arial" w:ascii="Arial" w:hAnsi="Arial"/>
          <w:b/>
          <w:sz w:val="24"/>
        </w:rPr>
      </w:r>
    </w:p>
    <w:p>
      <w:pPr>
        <w:pStyle w:val="Normal"/>
        <w:ind w:firstLine="720" w:end="0"/>
        <w:rPr>
          <w:rFonts w:ascii="Arial" w:hAnsi="Arial" w:cs="Arial"/>
          <w:sz w:val="24"/>
        </w:rPr>
      </w:pPr>
      <w:r>
        <w:rPr>
          <w:rFonts w:cs="Arial" w:ascii="Arial" w:hAnsi="Arial"/>
          <w:sz w:val="24"/>
        </w:rPr>
        <w:t>As RTOs increase in size, the need to coordinate with adjacent systems will decrease since what originally were “seams” issues will become internalized within the larger scope of the RTO.  Nonetheless, some generators will be constructed at or near the boundaries between RTOs. The Procedures provide for the RTO to coordinate the processing and evaluation of interconnection requests with adjacent RTOs and transmission owners that are electrically connected to the RTO and that may be affected by the interconnection requests.  We seek comments on the extent to which coordination should be required.</w:t>
      </w:r>
    </w:p>
    <w:p>
      <w:pPr>
        <w:pStyle w:val="Normal"/>
        <w:rPr>
          <w:rFonts w:ascii="Arial" w:hAnsi="Arial" w:cs="Arial"/>
          <w:sz w:val="24"/>
        </w:rPr>
      </w:pPr>
      <w:r>
        <w:rPr>
          <w:rFonts w:cs="Arial" w:ascii="Arial" w:hAnsi="Arial"/>
          <w:sz w:val="24"/>
        </w:rPr>
      </w:r>
    </w:p>
    <w:p>
      <w:pPr>
        <w:pStyle w:val="Heading1"/>
        <w:ind w:firstLine="720" w:start="0" w:end="0"/>
        <w:rPr>
          <w:sz w:val="26"/>
        </w:rPr>
      </w:pPr>
      <w:r>
        <w:rPr>
          <w:sz w:val="26"/>
        </w:rPr>
        <w:t xml:space="preserve">Maintaining Queue Position During Disputes – Section 4.4  </w:t>
      </w:r>
    </w:p>
    <w:p>
      <w:pPr>
        <w:pStyle w:val="Normal"/>
        <w:rPr>
          <w:rFonts w:ascii="Arial" w:hAnsi="Arial" w:cs="Arial"/>
          <w:b/>
          <w:sz w:val="24"/>
        </w:rPr>
      </w:pPr>
      <w:r>
        <w:rPr>
          <w:rFonts w:cs="Arial" w:ascii="Arial" w:hAnsi="Arial"/>
          <w:b/>
          <w:sz w:val="24"/>
        </w:rPr>
      </w:r>
    </w:p>
    <w:p>
      <w:pPr>
        <w:pStyle w:val="BodyTextIndent"/>
        <w:rPr/>
      </w:pPr>
      <w:r>
        <w:rPr/>
        <w:t xml:space="preserve">The Procedures provide that a Generator that disagrees with the RTO concerning the applicability or interpretation of the Procedures retains its queue position during the pendency of the dispute even if it does not comply with the RTO’s interpretation during the dispute, provided that it complies promptly with the disputed provision at the conclusion of the dispute resolution procedures.  We seek comments on whether the Generator should be required to comply with the Procedures as interpreted or applied by the RTO during the dispute resolution process.  The resolution of this issue should largely be dependent on the extent to which non-compliance interferes with or delays the rights of lower-queued interconnection customers.  </w:t>
      </w:r>
    </w:p>
    <w:p>
      <w:pPr>
        <w:pStyle w:val="Normal"/>
        <w:rPr>
          <w:rFonts w:ascii="Arial" w:hAnsi="Arial" w:cs="Arial"/>
          <w:sz w:val="24"/>
        </w:rPr>
      </w:pPr>
      <w:r>
        <w:rPr>
          <w:rFonts w:cs="Arial" w:ascii="Arial" w:hAnsi="Arial"/>
          <w:sz w:val="24"/>
        </w:rPr>
      </w:r>
    </w:p>
    <w:p>
      <w:pPr>
        <w:pStyle w:val="Heading1"/>
        <w:ind w:firstLine="720" w:start="0" w:end="0"/>
        <w:rPr>
          <w:sz w:val="26"/>
        </w:rPr>
      </w:pPr>
      <w:r>
        <w:rPr>
          <w:sz w:val="26"/>
        </w:rPr>
        <w:t xml:space="preserve">Grandfathering of Pending Interconnection Requests – Article 5  </w:t>
      </w:r>
    </w:p>
    <w:p>
      <w:pPr>
        <w:pStyle w:val="Normal"/>
        <w:rPr>
          <w:rFonts w:ascii="Arial" w:hAnsi="Arial" w:cs="Arial"/>
          <w:b/>
          <w:sz w:val="24"/>
        </w:rPr>
      </w:pPr>
      <w:r>
        <w:rPr>
          <w:rFonts w:cs="Arial" w:ascii="Arial" w:hAnsi="Arial"/>
          <w:b/>
          <w:sz w:val="24"/>
        </w:rPr>
      </w:r>
    </w:p>
    <w:p>
      <w:pPr>
        <w:pStyle w:val="BodyTextIndent"/>
        <w:rPr/>
      </w:pPr>
      <w:r>
        <w:rPr/>
        <w:t xml:space="preserve">The Procedures provide that interconnection requests to the RTO or to a Transmission Provider that were made prior to the effective date of the Procedures and that are still pending as of that effective date are assigned queue positions based on the dates of the original requests, provided that the Generators comply with all requirements of the Procedures that apply after the effective date.  The Generator may ask for a reasonable extension of the dates provided for in the Procedures as necessary to avoid undue hardship resulting from the applicability of the Procedures instead of the previously-effective procedures.  There is no transition period in which the Generator may continue to comply with the previously-effective procedures.  Also, if immediately prior to the time these Procedures take effect, the Generator is negotiating an Interconnection and Operating Agreement that is different from the Model Interconnection and Operating Agreement that is attached to these Procedures, the Generator must instead accept the Model Interconnection and Operating Agreement.  We have preliminarily decided not to provide a transition period because all Generators will be on notice of the terms and conditions of these Procedures and the Model Interconnection and Operating Agreement before they take effect, and should be able to adapt to the Procedures immediately when they become effective.  We invite comments on whether this provision imposes too great a burden on Generators and on whether allowing a transition period in which the currently-effective procedures would continue to be effective would result in too much disparity in the treatment of otherwise similarly situated Generators.  </w:t>
      </w:r>
    </w:p>
    <w:p>
      <w:pPr>
        <w:pStyle w:val="Normal"/>
        <w:rPr>
          <w:rFonts w:ascii="Arial" w:hAnsi="Arial" w:cs="Arial"/>
          <w:sz w:val="24"/>
        </w:rPr>
      </w:pPr>
      <w:r>
        <w:rPr>
          <w:rFonts w:cs="Arial" w:ascii="Arial" w:hAnsi="Arial"/>
          <w:sz w:val="24"/>
        </w:rPr>
      </w:r>
    </w:p>
    <w:p>
      <w:pPr>
        <w:pStyle w:val="Heading1"/>
        <w:ind w:firstLine="720" w:start="0" w:end="0"/>
        <w:rPr>
          <w:sz w:val="26"/>
        </w:rPr>
      </w:pPr>
      <w:r>
        <w:rPr>
          <w:sz w:val="26"/>
        </w:rPr>
        <w:t xml:space="preserve">Projects Included in Interconnection Studies – Section 6.3  </w:t>
      </w:r>
    </w:p>
    <w:p>
      <w:pPr>
        <w:pStyle w:val="Normal"/>
        <w:rPr>
          <w:rFonts w:ascii="Arial" w:hAnsi="Arial" w:cs="Arial"/>
          <w:b/>
          <w:sz w:val="24"/>
        </w:rPr>
      </w:pPr>
      <w:r>
        <w:rPr>
          <w:rFonts w:cs="Arial" w:ascii="Arial" w:hAnsi="Arial"/>
          <w:b/>
          <w:sz w:val="24"/>
        </w:rPr>
      </w:r>
    </w:p>
    <w:p>
      <w:pPr>
        <w:pStyle w:val="Normal"/>
        <w:ind w:firstLine="720" w:end="0"/>
        <w:rPr>
          <w:rFonts w:ascii="Arial" w:hAnsi="Arial" w:cs="Arial"/>
          <w:sz w:val="24"/>
        </w:rPr>
      </w:pPr>
      <w:r>
        <w:rPr>
          <w:rFonts w:cs="Arial" w:ascii="Arial" w:hAnsi="Arial"/>
          <w:sz w:val="24"/>
        </w:rPr>
        <w:t xml:space="preserve">The Procedures provide that the RTO will include in the “base case” study all other generators that are directly or indirectly interconnected to the Transmission System and generators that are not interconnected but that have either executed Interconnection and Operating Agreements or have requested the RTO to file unexecuted agreements.  The RTO will not include in the “base case” of the studies any generator that has not either executed the Interconnection and Operating Agreement or requested that it be filed in unexecuted form.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 xml:space="preserve">A Transmission Provider has two alternatives with respect to the inclusion of pending projects in the interconnection studies it performs.  First, it could include all higher queued interconnection requests in the study.  If the RTO does so, the actual interconnection requirements and costs are likely to be substantially different from the requirements and costs shown in the study because experience has shown that a significant percentage of all interconnection requests are withdrawn before the Interconnection and Operating Agreement is executed or filed.  Also, since interconnection costs tend to increase as the number of generators included in the “base case” increases, the estimate of costs shown in the study is likely to be higher than the actual costs.  </w:t>
      </w:r>
    </w:p>
    <w:p>
      <w:pPr>
        <w:pStyle w:val="Normal"/>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 xml:space="preserve">Alternatively, the RTO could include in the “base case” only the generators that have already interconnected or that have either executed Interconnection and Operating Agreements or asked that unexecuted agreements be filed.  If the RTO does so, the actual interconnection requirements and costs are likely to be closer to the estimated requirements and costs since it is likely that relatively few generators will withdraw after executing Interconnection and Operating Agreements.  However, the actual interconnection costs are likely to increase above the levels shown in the initial studies because some of the higher-queued generators may execute Interconnection and Operating Agreements or request that they be filed unexecuted prior to the date on which the generator in question does so.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 xml:space="preserve">We have decided to include in the studies only the generators that are interconnected or that have executed Interconnection and Operating Agreements or requested that unexecuted agreements be filed.  We have done so because this “base case” presents a more realistic picture of the conditions and costs that the generator will actually experience.  We are sensitive to the fact that some generators are concerned that cost estimates may increase as higher-queued generators execute agreements or request that they be filed unexecuted, and that they might prefer to know the upper limit of their interconnection cost responsibility as early as possible.  We have provided for generators to learn this information by adding to the Procedures provisions for generators to request optional studies that include additional generators in the “base case.”  This should provide the generator a greater degree of understanding of its cost exposure to cost increases resulting from changes in the system prior to the date on which it executes an Interconnection and Operating Agreement or requests the filing of an unexecuted agreement.  However, it does not insulate the generator from such costs.  We also believe that protecting the generator from additional costs after it executes the Interconnection and Operating Agreement or requests that it be filed unexecuted provides additional assurance to the generator of its cost responsibility.  We invite comments on whether this approach is reasonable.  </w:t>
      </w:r>
    </w:p>
    <w:p>
      <w:pPr>
        <w:pStyle w:val="Normal"/>
        <w:rPr>
          <w:rFonts w:ascii="Arial" w:hAnsi="Arial" w:cs="Arial"/>
          <w:sz w:val="24"/>
        </w:rPr>
      </w:pPr>
      <w:r>
        <w:rPr>
          <w:rFonts w:cs="Arial" w:ascii="Arial" w:hAnsi="Arial"/>
          <w:sz w:val="24"/>
        </w:rPr>
      </w:r>
    </w:p>
    <w:p>
      <w:pPr>
        <w:pStyle w:val="Heading1"/>
        <w:ind w:firstLine="720" w:start="0" w:end="0"/>
        <w:rPr>
          <w:sz w:val="26"/>
        </w:rPr>
      </w:pPr>
      <w:r>
        <w:rPr>
          <w:sz w:val="26"/>
        </w:rPr>
        <w:t xml:space="preserve">Scope of Interconnection Studies – Section 6.3  </w:t>
      </w:r>
    </w:p>
    <w:p>
      <w:pPr>
        <w:pStyle w:val="Normal"/>
        <w:rPr>
          <w:rFonts w:ascii="Arial" w:hAnsi="Arial" w:cs="Arial"/>
          <w:b/>
          <w:sz w:val="24"/>
        </w:rPr>
      </w:pPr>
      <w:r>
        <w:rPr>
          <w:rFonts w:cs="Arial" w:ascii="Arial" w:hAnsi="Arial"/>
          <w:b/>
          <w:sz w:val="24"/>
        </w:rPr>
      </w:r>
    </w:p>
    <w:p>
      <w:pPr>
        <w:pStyle w:val="Normal"/>
        <w:ind w:firstLine="720" w:end="0"/>
        <w:rPr/>
      </w:pPr>
      <w:r>
        <w:rPr>
          <w:rFonts w:cs="Arial" w:ascii="Arial" w:hAnsi="Arial"/>
          <w:sz w:val="24"/>
        </w:rPr>
        <w:t xml:space="preserve">The issue of the scope of interconnection studies continues to be controversial.  Some market participants believe that the studies should provide some information about the ability of energy to flow onto the transmission system (the “injection rights” approach).  Others believe that the studies should address only the facilities that are physically necessary to accomplish the interconnection and that no consideration should be given to the implications for system reliability of the energization of the unit (the “extension cord” approach). In recent orders, the Commission held that interconnection costs include not only the radial lines that connect the generator to the transmission grid but also the facilities on the transmission grid that are essential to effectuate a reliable interconnection.  Generally, these are the facilities that are within one bus in any direction from the point of interconnection (the “bus to bus” approach). </w:t>
      </w:r>
      <w:r>
        <w:rPr>
          <w:rFonts w:cs="Arial" w:ascii="Arial" w:hAnsi="Arial"/>
          <w:i/>
          <w:iCs/>
          <w:sz w:val="24"/>
        </w:rPr>
        <w:t xml:space="preserve">See </w:t>
      </w:r>
      <w:r>
        <w:rPr>
          <w:rFonts w:cs="Arial" w:ascii="Arial" w:hAnsi="Arial"/>
          <w:i/>
          <w:sz w:val="24"/>
        </w:rPr>
        <w:t xml:space="preserve">American Electric Power Service Corporation, </w:t>
      </w:r>
      <w:r>
        <w:rPr>
          <w:rFonts w:cs="Arial" w:ascii="Arial" w:hAnsi="Arial"/>
          <w:sz w:val="24"/>
        </w:rPr>
        <w:t xml:space="preserve">95 FERC ¶ 61,472 (2001); </w:t>
      </w:r>
      <w:r>
        <w:rPr>
          <w:rFonts w:cs="Arial" w:ascii="Arial" w:hAnsi="Arial"/>
          <w:i/>
          <w:sz w:val="24"/>
        </w:rPr>
        <w:t xml:space="preserve">Duke Energy Corporation, </w:t>
      </w:r>
      <w:r>
        <w:rPr>
          <w:rFonts w:cs="Arial" w:ascii="Arial" w:hAnsi="Arial"/>
          <w:sz w:val="24"/>
        </w:rPr>
        <w:t xml:space="preserve">95 FERC ¶ 61,279 (2001). </w:t>
      </w:r>
      <w:r>
        <w:rPr>
          <w:rFonts w:cs="Arial" w:ascii="Arial" w:hAnsi="Arial"/>
          <w:i/>
          <w:sz w:val="24"/>
        </w:rPr>
        <w:t xml:space="preserve"> </w:t>
      </w:r>
      <w:r>
        <w:rPr>
          <w:rFonts w:cs="Arial" w:ascii="Arial" w:hAnsi="Arial"/>
          <w:sz w:val="24"/>
        </w:rPr>
        <w:t>We invite comments on whether interconnection service should merely include the right to physically interconnect the generator to the system or whether some consideration should be given to the impact on system reliability if the generator is energized.  Under either scenario, the right to deliver power anywhere on the system is a function of market design, i.e. locational marginal pricing versus “source and sink” designation and is not addressed by these procedures.</w:t>
      </w:r>
    </w:p>
    <w:p>
      <w:pPr>
        <w:pStyle w:val="Normal"/>
        <w:ind w:firstLine="720" w:end="0"/>
        <w:rPr>
          <w:rFonts w:ascii="Arial" w:hAnsi="Arial" w:cs="Arial"/>
          <w:sz w:val="24"/>
        </w:rPr>
      </w:pPr>
      <w:r>
        <w:rPr>
          <w:rFonts w:cs="Arial" w:ascii="Arial" w:hAnsi="Arial"/>
          <w:sz w:val="24"/>
        </w:rPr>
      </w:r>
    </w:p>
    <w:p>
      <w:pPr>
        <w:pStyle w:val="Normal"/>
        <w:ind w:start="720" w:end="0"/>
        <w:rPr/>
      </w:pPr>
      <w:r>
        <w:rPr>
          <w:rFonts w:cs="Arial" w:ascii="Arial" w:hAnsi="Arial"/>
          <w:b/>
          <w:smallCaps/>
          <w:sz w:val="26"/>
        </w:rPr>
        <w:t>Responsibility for Costs Resulting from Changed Circumstances</w:t>
      </w:r>
      <w:r>
        <w:rPr>
          <w:rFonts w:cs="Arial" w:ascii="Arial" w:hAnsi="Arial"/>
          <w:b/>
          <w:sz w:val="26"/>
        </w:rPr>
        <w:t xml:space="preserve">  </w:t>
      </w:r>
    </w:p>
    <w:p>
      <w:pPr>
        <w:pStyle w:val="Normal"/>
        <w:rPr>
          <w:rFonts w:ascii="Arial" w:hAnsi="Arial" w:cs="Arial"/>
          <w:b/>
          <w:sz w:val="24"/>
        </w:rPr>
      </w:pPr>
      <w:r>
        <w:rPr>
          <w:rFonts w:cs="Arial" w:ascii="Arial" w:hAnsi="Arial"/>
          <w:b/>
          <w:sz w:val="24"/>
        </w:rPr>
      </w:r>
    </w:p>
    <w:p>
      <w:pPr>
        <w:pStyle w:val="Normal"/>
        <w:ind w:firstLine="720" w:end="0"/>
        <w:rPr>
          <w:rFonts w:ascii="Arial" w:hAnsi="Arial" w:cs="Arial"/>
          <w:sz w:val="24"/>
        </w:rPr>
      </w:pPr>
      <w:r>
        <w:rPr>
          <w:rFonts w:cs="Arial" w:ascii="Arial" w:hAnsi="Arial"/>
          <w:sz w:val="24"/>
        </w:rPr>
        <w:t>The Procedures do not contain any specific provision for re-studying an interconnection request or for the allocation of responsibility for costs if conditions change between the date when the Generator submits an interconnection request and the date on which the Generator executes an Interconnection and Operating Agreement or requests the filing of an unexecuted agreement.  The Commission’s current policy is that the Generator should be responsible for the costs of re-studying the system and the costs of interconnection that are shown to be necessary as a result of the new studies prior to the date on which it executes the agreement or requests that it be filed unexecuted, but is not responsible for study costs or interconnection costs that result from changed conditions after that date.  We invite comments on whether such costs should be socialized (rolled-in) to all transmission customers, whether a Generator should be responsible for all costs of implementing its interconnection, including costs resulting from changed circumstances; or whether the costs should be assessed against the entity (typically higher-queued generator) that caused the changed circumstances.</w:t>
      </w:r>
    </w:p>
    <w:p>
      <w:pPr>
        <w:pStyle w:val="Normal"/>
        <w:rPr>
          <w:rFonts w:ascii="Arial" w:hAnsi="Arial" w:cs="Arial"/>
          <w:sz w:val="24"/>
        </w:rPr>
      </w:pPr>
      <w:r>
        <w:rPr>
          <w:rFonts w:cs="Arial" w:ascii="Arial" w:hAnsi="Arial"/>
          <w:sz w:val="24"/>
        </w:rPr>
      </w:r>
    </w:p>
    <w:p>
      <w:pPr>
        <w:pStyle w:val="Normal"/>
        <w:ind w:start="720" w:end="0"/>
        <w:rPr/>
      </w:pPr>
      <w:r>
        <w:rPr>
          <w:rFonts w:cs="Arial" w:ascii="Arial" w:hAnsi="Arial"/>
          <w:b/>
          <w:smallCaps/>
          <w:sz w:val="26"/>
        </w:rPr>
        <w:t>Actions During Dispute over Interconnection and Operating Agreement – Section 10.4</w:t>
      </w:r>
      <w:r>
        <w:rPr>
          <w:rFonts w:cs="Arial" w:ascii="Arial" w:hAnsi="Arial"/>
          <w:b/>
          <w:sz w:val="26"/>
        </w:rPr>
        <w:t xml:space="preserve">  </w:t>
      </w:r>
    </w:p>
    <w:p>
      <w:pPr>
        <w:pStyle w:val="Normal"/>
        <w:rPr>
          <w:rFonts w:ascii="Arial" w:hAnsi="Arial" w:cs="Arial"/>
          <w:b/>
          <w:sz w:val="24"/>
        </w:rPr>
      </w:pPr>
      <w:r>
        <w:rPr>
          <w:rFonts w:cs="Arial" w:ascii="Arial" w:hAnsi="Arial"/>
          <w:b/>
          <w:sz w:val="24"/>
        </w:rPr>
      </w:r>
    </w:p>
    <w:p>
      <w:pPr>
        <w:pStyle w:val="BodyTextIndent"/>
        <w:rPr/>
      </w:pPr>
      <w:r>
        <w:rPr/>
        <w:t xml:space="preserve">The Procedures provide for the Generator to either execute the Interconnection and Operating Agreement or to request the RTO to file the agreement in unexecuted form with the Commission.  If the Generator does not execute the agreement, it may execute a letter agreement as set forth in Appendix G committing itself to be bound by the terms and conditions of the Interconnection and Operating Agreement as it may be modified by the Commission.  If the Generator executes the letter agreement, the RTO will commence interconnection activities in accord with the Interconnection and Operating Agreement.  The Procedures provide that if the Generator does not execute the letter agreement, the RTO may not commence interconnection activities.  </w:t>
      </w:r>
    </w:p>
    <w:p>
      <w:pPr>
        <w:pStyle w:val="Normal"/>
        <w:rPr>
          <w:rFonts w:ascii="Arial" w:hAnsi="Arial" w:cs="Arial"/>
          <w:sz w:val="24"/>
        </w:rPr>
      </w:pPr>
      <w:r>
        <w:rPr>
          <w:rFonts w:cs="Arial" w:ascii="Arial" w:hAnsi="Arial"/>
          <w:sz w:val="24"/>
        </w:rPr>
      </w:r>
    </w:p>
    <w:p>
      <w:pPr>
        <w:pStyle w:val="BodyTextIndent"/>
        <w:rPr/>
      </w:pPr>
      <w:r>
        <w:rPr/>
        <w:t xml:space="preserve">We have concluded that it is reasonable for the RTO to delay the commencement of interconnection activities if it does not have assurance that the Generator will be bound by the Interconnection and Operating Agreement, and in particular the cost responsibility provisions of the agreement.  On the other hand, a lengthy period of delay, such as might result from a dispute over cost responsibility that is set for hearing, could adversely affect lower-queued generators who are unable to determine whether the higher-queued generator will pay for the construction of interconnection facilities, and whose interconnections are dependent on the completion of the interconnection facilities of the higher-queued generator.  We seek comments on whether a Generator that requests the filing of an unexecuted Interconnection Agreement should be permitted to retain its queue position if it does not agree to be bound by the Interconnection and Operating Agreement as it may be modified by the Commission and, if so, is there any limit on how long it should retain that queue position. </w:t>
      </w:r>
    </w:p>
    <w:p>
      <w:pPr>
        <w:pStyle w:val="BodyTextIndent"/>
        <w:ind w:hanging="0" w:end="0"/>
        <w:rPr/>
      </w:pPr>
      <w:r>
        <w:rPr/>
      </w:r>
    </w:p>
    <w:p>
      <w:pPr>
        <w:pStyle w:val="BodyTextIndent"/>
        <w:ind w:hanging="0" w:end="0"/>
        <w:rPr>
          <w:b/>
          <w:smallCaps/>
          <w:sz w:val="28"/>
        </w:rPr>
      </w:pPr>
      <w:r>
        <w:rPr>
          <w:b/>
          <w:smallCaps/>
          <w:sz w:val="28"/>
        </w:rPr>
        <w:t>Model Interconnection and Operating Agreement</w:t>
      </w:r>
    </w:p>
    <w:p>
      <w:pPr>
        <w:pStyle w:val="BodyTextIndent"/>
        <w:ind w:hanging="0" w:end="0"/>
        <w:rPr>
          <w:b/>
          <w:smallCaps/>
          <w:sz w:val="28"/>
        </w:rPr>
      </w:pPr>
      <w:r>
        <w:rPr>
          <w:b/>
          <w:smallCaps/>
          <w:sz w:val="28"/>
        </w:rPr>
      </w:r>
    </w:p>
    <w:p>
      <w:pPr>
        <w:pStyle w:val="BodyTextIndent"/>
        <w:ind w:hanging="0" w:end="0"/>
        <w:rPr/>
      </w:pPr>
      <w:r>
        <w:rPr/>
        <w:tab/>
        <w:t xml:space="preserve">The Model Interconnection and Operating Agreement is Appendix 5 to the Model Generator Interconnection Procedures.  It is intended to be used as a </w:t>
      </w:r>
      <w:r>
        <w:rPr>
          <w:i/>
        </w:rPr>
        <w:t xml:space="preserve">pro forma </w:t>
      </w:r>
      <w:r>
        <w:rPr/>
        <w:t xml:space="preserve"> agreement.  This means that Generators and RTOs may not negotiate differences from the Model Agreement on a case-by–case basis.  The parties may, however, negotiate the terms of specific interconnections that are to be included in the Attachments to the Model Agreement.  Also, any entity may apply to the FERC to modify the </w:t>
      </w:r>
      <w:r>
        <w:rPr>
          <w:i/>
        </w:rPr>
        <w:t>pro forma</w:t>
      </w:r>
      <w:r>
        <w:rPr/>
        <w:t xml:space="preserve"> portions of the Model Agreement.  If the FERC approves such a modification, all interconnection agreements that are based on the </w:t>
      </w:r>
      <w:r>
        <w:rPr>
          <w:i/>
        </w:rPr>
        <w:t>pro forma</w:t>
      </w:r>
      <w:r>
        <w:rPr/>
        <w:t xml:space="preserve"> Model Agreement will be deemed to be modified as well.  </w:t>
      </w:r>
    </w:p>
    <w:p>
      <w:pPr>
        <w:pStyle w:val="BodyTextIndent"/>
        <w:ind w:hanging="0" w:end="0"/>
        <w:rPr/>
      </w:pPr>
      <w:r>
        <w:rPr/>
      </w:r>
    </w:p>
    <w:p>
      <w:pPr>
        <w:pStyle w:val="BodyTextIndent"/>
        <w:ind w:hanging="0" w:end="0"/>
        <w:rPr/>
      </w:pPr>
      <w:r>
        <w:rPr/>
        <w:tab/>
        <w:t xml:space="preserve">Where the drafters representing the RTO position and the drafters representing the Generator position could not reach agreement with respect to a provision in the Model Agreement, they included two alternative versions of the provision, together with a brief footnote that explains the basis for the two provisions.  We invite comments on these provisions as well as on any other provision of the Model Agreement.  We also note that we have not addressed the relationship between the RTO and the Transmission Owner where the Transmission Owner is not the RTO.  We have preliminarily concluded that the relationship between the RTO and the Transmission Owner should be established in a separate document.  We invite comments on whether this is the right approach; whether the Model Agreement should be a three-party agreement between the RTO, the Generator and the Transmission Owner; or whether some other approach to the relationship between the three entities is more appropriate.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headerReference w:type="first" r:id="rId3"/>
      <w:type w:val="nextPage"/>
      <w:pgSz w:w="12240" w:h="15840"/>
      <w:pgMar w:left="1440" w:right="1440" w:gutter="0" w:header="720" w:top="776"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rFonts w:ascii="Arial" w:hAnsi="Arial" w:cs="Arial"/>
        <w:b/>
      </w:rPr>
    </w:pPr>
    <w:r>
      <w:rPr>
        <w:rFonts w:cs="Arial" w:ascii="Arial" w:hAnsi="Arial"/>
        <w:b/>
      </w:rPr>
    </w:r>
  </w:p>
  <w:p>
    <w:pPr>
      <w:pStyle w:val="Heading"/>
      <w:jc w:val="start"/>
      <w:rPr>
        <w:rFonts w:ascii="Arial" w:hAnsi="Arial" w:cs="Arial"/>
        <w:smallCaps/>
        <w:sz w:val="24"/>
      </w:rPr>
    </w:pPr>
    <w:r>
      <w:rPr>
        <w:rFonts w:cs="Arial" w:ascii="Arial" w:hAnsi="Arial"/>
        <w:smallCaps/>
        <w:sz w:val="24"/>
      </w:rPr>
      <w:t>Explanation and Commentary On Model Interconnection Procedures and Agreement</w:t>
    </w:r>
  </w:p>
  <w:p>
    <w:pPr>
      <w:pStyle w:val="Heading"/>
      <w:jc w:val="start"/>
      <w:rPr>
        <w:rStyle w:val="PageNumber"/>
        <w:rFonts w:ascii="Arial" w:hAnsi="Arial" w:cs="Arial"/>
        <w:b/>
        <w:sz w:val="24"/>
      </w:rPr>
    </w:pPr>
    <w:r>
      <w:rPr>
        <w:rFonts w:cs="Arial" w:ascii="Arial" w:hAnsi="Arial"/>
        <w:b w:val="false"/>
        <w:sz w:val="24"/>
      </w:rPr>
      <w:t xml:space="preserve">Page </w:t>
    </w:r>
    <w:r>
      <w:rPr>
        <w:rStyle w:val="PageNumber"/>
        <w:rFonts w:cs="Arial" w:ascii="Arial" w:hAnsi="Arial"/>
        <w:b/>
        <w:sz w:val="24"/>
      </w:rPr>
      <w:fldChar w:fldCharType="begin"/>
    </w:r>
    <w:r>
      <w:rPr>
        <w:rStyle w:val="PageNumber"/>
        <w:sz w:val="24"/>
        <w:b/>
        <w:rFonts w:cs="Arial" w:ascii="Arial" w:hAnsi="Arial"/>
      </w:rPr>
      <w:instrText xml:space="preserve"> PAGE </w:instrText>
    </w:r>
    <w:r>
      <w:rPr>
        <w:rStyle w:val="PageNumber"/>
        <w:sz w:val="24"/>
        <w:b/>
        <w:rFonts w:cs="Arial" w:ascii="Arial" w:hAnsi="Arial"/>
      </w:rPr>
      <w:fldChar w:fldCharType="separate"/>
    </w:r>
    <w:r>
      <w:rPr>
        <w:rStyle w:val="PageNumber"/>
        <w:sz w:val="24"/>
        <w:b/>
        <w:rFonts w:cs="Arial" w:ascii="Arial" w:hAnsi="Arial"/>
      </w:rPr>
      <w:t>6</w:t>
    </w:r>
    <w:r>
      <w:rPr>
        <w:rStyle w:val="PageNumber"/>
        <w:sz w:val="24"/>
        <w:b/>
        <w:rFonts w:cs="Arial" w:ascii="Arial" w:hAnsi="Arial"/>
      </w:rPr>
      <w:fldChar w:fldCharType="end"/>
    </w:r>
  </w:p>
  <w:p>
    <w:pPr>
      <w:pStyle w:val="Heading"/>
      <w:jc w:val="start"/>
      <w:rPr>
        <w:rStyle w:val="PageNumber"/>
        <w:rFonts w:ascii="Arial" w:hAnsi="Arial" w:cs="Arial"/>
        <w:b/>
        <w:sz w:val="24"/>
        <w:lang w:val="en-CA" w:eastAsia="en-CA"/>
      </w:rPr>
    </w:pPr>
    <w:r>
      <w:rPr/>
      <mc:AlternateContent>
        <mc:Choice Requires="wps">
          <w:drawing>
            <wp:anchor behindDoc="1" distT="0" distB="0" distL="114935" distR="114935" simplePos="0" locked="0" layoutInCell="1" allowOverlap="1" relativeHeight="6">
              <wp:simplePos x="0" y="0"/>
              <wp:positionH relativeFrom="column">
                <wp:posOffset>-62865</wp:posOffset>
              </wp:positionH>
              <wp:positionV relativeFrom="paragraph">
                <wp:posOffset>67310</wp:posOffset>
              </wp:positionV>
              <wp:extent cx="6057900" cy="0"/>
              <wp:effectExtent l="0" t="19050" r="0" b="19050"/>
              <wp:wrapNone/>
              <wp:docPr id="1" name=""/>
              <a:graphic xmlns:a="http://schemas.openxmlformats.org/drawingml/2006/main">
                <a:graphicData uri="http://schemas.microsoft.com/office/word/2010/wordprocessingShape">
                  <wps:wsp>
                    <wps:cNvSpPr/>
                    <wps:spPr>
                      <a:xfrm>
                        <a:off x="0" y="0"/>
                        <a:ext cx="6058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4.95pt,5.3pt" to="472pt,5.3pt" stroked="t" o:allowincell="f" style="position:absolute">
              <v:stroke color="black" weight="38160" joinstyle="miter" endcap="flat"/>
              <v:fill o:detectmouseclick="t" on="false"/>
              <w10:wrap type="none"/>
            </v:line>
          </w:pict>
        </mc:Fallback>
      </mc:AlternateContent>
    </w:r>
  </w:p>
  <w:p>
    <w:pPr>
      <w:pStyle w:val="Heading"/>
      <w:jc w:val="start"/>
      <w:rPr>
        <w:rStyle w:val="PageNumber"/>
        <w:rFonts w:ascii="Arial" w:hAnsi="Arial" w:cs="Arial"/>
        <w:b w:val="false"/>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mallCaps/>
      <w:kern w:val="2"/>
      <w:sz w:val="28"/>
      <w:szCs w:val="32"/>
    </w:rPr>
  </w:style>
  <w:style w:type="paragraph" w:styleId="Heading2">
    <w:name w:val="heading 2"/>
    <w:basedOn w:val="Normal"/>
    <w:next w:val="Normal"/>
    <w:qFormat/>
    <w:pPr>
      <w:keepNext w:val="true"/>
      <w:numPr>
        <w:ilvl w:val="1"/>
        <w:numId w:val="1"/>
      </w:numPr>
      <w:outlineLvl w:val="1"/>
    </w:pPr>
    <w:rPr>
      <w:rFonts w:ascii="Arial" w:hAnsi="Arial" w:cs="Arial"/>
      <w:b/>
      <w:smallCaps/>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2001-09-12T20:35:00Z</dcterms:created>
  <dc:creator>BJ</dc:creator>
  <dc:description/>
  <dc:language>en-CA</dc:language>
  <cp:lastModifiedBy>blfetherolf</cp:lastModifiedBy>
  <cp:lastPrinted>2001-09-12T19:03:00Z</cp:lastPrinted>
  <dcterms:modified xsi:type="dcterms:W3CDTF">2001-09-12T20:35:00Z</dcterms:modified>
  <cp:revision>2</cp:revision>
  <dc:subject/>
  <dc:title>EEI Model Intro  (BLF0593.DOC;1)</dc:title>
</cp:coreProperties>
</file>