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50" w:leader="none"/>
        </w:tabs>
        <w:rPr>
          <w:b/>
          <w:sz w:val="20"/>
        </w:rPr>
      </w:pPr>
      <w:r>
        <w:rPr>
          <w:b/>
          <w:sz w:val="20"/>
        </w:rPr>
      </w:r>
    </w:p>
    <w:p>
      <w:pPr>
        <w:pStyle w:val="Heading2"/>
        <w:ind w:hanging="0" w:start="0"/>
        <w:rPr>
          <w:b w:val="false"/>
          <w:sz w:val="28"/>
        </w:rPr>
      </w:pPr>
      <w:r>
        <w:rPr>
          <w:b w:val="false"/>
          <w:sz w:val="28"/>
        </w:rPr>
      </w:r>
    </w:p>
    <w:p>
      <w:pPr>
        <w:pStyle w:val="Heading2"/>
        <w:ind w:hanging="0" w:start="0"/>
        <w:rPr>
          <w:sz w:val="28"/>
        </w:rPr>
      </w:pPr>
      <w:r>
        <w:rPr>
          <w:sz w:val="28"/>
        </w:rPr>
        <w:t>UNITED STATES OF AMERICA</w:t>
      </w:r>
    </w:p>
    <w:p>
      <w:pPr>
        <w:pStyle w:val="Normal"/>
        <w:numPr>
          <w:ilvl w:val="0"/>
          <w:numId w:val="0"/>
        </w:numPr>
        <w:jc w:val="center"/>
        <w:outlineLvl w:val="0"/>
        <w:rPr>
          <w:b/>
          <w:sz w:val="28"/>
        </w:rPr>
      </w:pPr>
      <w:r>
        <w:rPr>
          <w:b/>
          <w:sz w:val="28"/>
        </w:rPr>
        <w:t>BEFORE THE</w:t>
      </w:r>
    </w:p>
    <w:p>
      <w:pPr>
        <w:pStyle w:val="Heading2"/>
        <w:ind w:hanging="0" w:start="0"/>
        <w:rPr>
          <w:sz w:val="28"/>
        </w:rPr>
      </w:pPr>
      <w:r>
        <w:rPr>
          <w:sz w:val="28"/>
        </w:rPr>
        <w:t>FEDERAL ENERGY REGULATORY COMMISSION</w:t>
      </w:r>
    </w:p>
    <w:p>
      <w:pPr>
        <w:pStyle w:val="Normal"/>
        <w:jc w:val="center"/>
        <w:rPr/>
      </w:pPr>
      <w:r>
        <w:rPr/>
      </w:r>
    </w:p>
    <w:p>
      <w:pPr>
        <w:pStyle w:val="Normal"/>
        <w:jc w:val="both"/>
        <w:rPr/>
      </w:pPr>
      <w:r>
        <w:rPr/>
      </w:r>
    </w:p>
    <w:p>
      <w:pPr>
        <w:pStyle w:val="Header"/>
        <w:tabs>
          <w:tab w:val="clear" w:pos="4320"/>
          <w:tab w:val="clear" w:pos="8640"/>
        </w:tabs>
        <w:rPr/>
      </w:pPr>
      <w:r>
        <mc:AlternateContent>
          <mc:Choice Requires="wps">
            <w:drawing>
              <wp:anchor behindDoc="0" distT="0" distB="0" distL="114935" distR="114935" simplePos="0" locked="0" layoutInCell="1" allowOverlap="1" relativeHeight="8">
                <wp:simplePos x="0" y="0"/>
                <wp:positionH relativeFrom="column">
                  <wp:posOffset>0</wp:posOffset>
                </wp:positionH>
                <wp:positionV relativeFrom="paragraph">
                  <wp:posOffset>57150</wp:posOffset>
                </wp:positionV>
                <wp:extent cx="5943600" cy="0"/>
                <wp:effectExtent l="0" t="19050" r="0" b="19050"/>
                <wp:wrapNone/>
                <wp:docPr id="1"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4.5pt" to="467.95pt,4.5pt" stroked="t" o:allowincell="f" style="position:absolute">
                <v:stroke color="black" weight="38160" joinstyle="miter" endcap="flat"/>
                <v:fill o:detectmouseclick="t" on="false"/>
                <w10:wrap type="none"/>
              </v:line>
            </w:pict>
          </mc:Fallback>
        </mc:AlternateContent>
      </w:r>
      <w:r>
        <w:rPr/>
        <w:tab/>
        <w:tab/>
        <w:tab/>
        <w:tab/>
        <w:tab/>
        <w:tab/>
        <w:tab/>
        <w:tab/>
        <w:tab/>
        <w:tab/>
        <w:tab/>
        <w:tab/>
      </w:r>
    </w:p>
    <w:p>
      <w:pPr>
        <w:pStyle w:val="Normal"/>
        <w:rPr>
          <w:b/>
          <w:smallCaps/>
        </w:rPr>
      </w:pPr>
      <w:r>
        <w:rPr>
          <w:b/>
          <w:smallCaps/>
        </w:rPr>
        <w:t>Coral Power, L.L.C.,</w:t>
        <w:tab/>
        <w:tab/>
        <w:tab/>
        <w:tab/>
        <w:t>|</w:t>
      </w:r>
    </w:p>
    <w:p>
      <w:pPr>
        <w:pStyle w:val="Normal"/>
        <w:jc w:val="both"/>
        <w:rPr>
          <w:b/>
          <w:smallCaps/>
        </w:rPr>
      </w:pPr>
      <w:r>
        <w:rPr>
          <w:b/>
          <w:smallCaps/>
        </w:rPr>
        <w:t>Enron Power Marketing, Inc.,</w:t>
        <w:tab/>
        <w:tab/>
        <w:tab/>
        <w:t>|</w:t>
      </w:r>
    </w:p>
    <w:p>
      <w:pPr>
        <w:pStyle w:val="Normal"/>
        <w:jc w:val="both"/>
        <w:rPr>
          <w:b/>
          <w:smallCaps/>
        </w:rPr>
      </w:pPr>
      <w:r>
        <w:rPr>
          <w:b/>
          <w:smallCaps/>
        </w:rPr>
        <w:t>Arizona Public Service Company,</w:t>
        <w:tab/>
        <w:tab/>
        <w:t>|</w:t>
      </w:r>
    </w:p>
    <w:p>
      <w:pPr>
        <w:pStyle w:val="Normal"/>
        <w:jc w:val="both"/>
        <w:rPr>
          <w:b/>
          <w:smallCaps/>
        </w:rPr>
      </w:pPr>
      <w:r>
        <w:rPr>
          <w:b/>
          <w:smallCaps/>
        </w:rPr>
        <w:t>Cargill-Alliant, LLC,</w:t>
        <w:tab/>
        <w:tab/>
        <w:tab/>
        <w:tab/>
        <w:t>|</w:t>
      </w:r>
    </w:p>
    <w:p>
      <w:pPr>
        <w:pStyle w:val="Normal"/>
        <w:jc w:val="both"/>
        <w:rPr>
          <w:b/>
          <w:smallCaps/>
        </w:rPr>
      </w:pPr>
      <w:r>
        <w:rPr>
          <w:b/>
          <w:smallCaps/>
        </w:rPr>
        <w:t>San Diego Gas &amp; Electric Company,</w:t>
        <w:tab/>
        <w:tab/>
        <w:t>|</w:t>
      </w:r>
    </w:p>
    <w:p>
      <w:pPr>
        <w:pStyle w:val="Normal"/>
        <w:jc w:val="both"/>
        <w:rPr>
          <w:b/>
          <w:smallCaps/>
        </w:rPr>
      </w:pPr>
      <w:r>
        <w:rPr>
          <w:b/>
          <w:smallCaps/>
        </w:rPr>
        <w:t>Avista Energy, Inc.,</w:t>
        <w:tab/>
        <w:tab/>
        <w:tab/>
        <w:tab/>
        <w:t>|</w:t>
      </w:r>
    </w:p>
    <w:p>
      <w:pPr>
        <w:pStyle w:val="Normal"/>
        <w:jc w:val="both"/>
        <w:rPr>
          <w:b/>
          <w:smallCaps/>
        </w:rPr>
      </w:pPr>
      <w:r>
        <w:rPr>
          <w:b/>
          <w:smallCaps/>
        </w:rPr>
        <w:t>Sempra Energy Trading Corp.,</w:t>
        <w:tab/>
        <w:tab/>
        <w:tab/>
        <w:t>|</w:t>
      </w:r>
    </w:p>
    <w:p>
      <w:pPr>
        <w:pStyle w:val="Normal"/>
        <w:jc w:val="both"/>
        <w:rPr>
          <w:b/>
          <w:smallCaps/>
        </w:rPr>
      </w:pPr>
      <w:r>
        <w:rPr>
          <w:b/>
          <w:smallCaps/>
        </w:rPr>
        <w:t>PacifiCorp, and</w:t>
        <w:tab/>
        <w:tab/>
        <w:tab/>
        <w:tab/>
        <w:tab/>
        <w:t>|</w:t>
      </w:r>
    </w:p>
    <w:p>
      <w:pPr>
        <w:pStyle w:val="Normal"/>
        <w:jc w:val="both"/>
        <w:rPr>
          <w:b/>
          <w:smallCaps/>
        </w:rPr>
      </w:pPr>
      <w:r>
        <w:rPr>
          <w:b/>
          <w:smallCaps/>
        </w:rPr>
        <w:t>Constellation Power Source,</w:t>
        <w:tab/>
        <w:tab/>
        <w:tab/>
        <w:t>|</w:t>
      </w:r>
    </w:p>
    <w:p>
      <w:pPr>
        <w:pStyle w:val="Normal"/>
        <w:rPr/>
      </w:pPr>
      <w:r>
        <w:rPr/>
        <w:tab/>
        <w:tab/>
        <w:tab/>
        <w:tab/>
        <w:tab/>
        <w:tab/>
        <w:tab/>
      </w:r>
      <w:r>
        <w:rPr>
          <w:smallCaps/>
        </w:rPr>
        <w:t>|</w:t>
      </w:r>
    </w:p>
    <w:p>
      <w:pPr>
        <w:pStyle w:val="Normal"/>
        <w:rPr/>
      </w:pPr>
      <w:r>
        <w:rPr/>
        <w:tab/>
        <w:tab/>
        <w:tab/>
      </w:r>
      <w:r>
        <w:rPr>
          <w:b/>
          <w:smallCaps/>
        </w:rPr>
        <w:t>Complainants,</w:t>
      </w:r>
      <w:r>
        <w:rPr/>
        <w:tab/>
        <w:tab/>
      </w:r>
      <w:r>
        <w:rPr>
          <w:b/>
          <w:smallCaps/>
        </w:rPr>
        <w:t>|</w:t>
      </w:r>
    </w:p>
    <w:p>
      <w:pPr>
        <w:pStyle w:val="Normal"/>
        <w:rPr/>
      </w:pPr>
      <w:r>
        <w:rPr/>
        <w:tab/>
        <w:tab/>
      </w:r>
      <w:r>
        <w:rPr>
          <w:b/>
        </w:rPr>
        <w:t>v.</w:t>
      </w:r>
      <w:r>
        <w:rPr/>
        <w:tab/>
        <w:tab/>
        <w:tab/>
        <w:tab/>
        <w:tab/>
      </w:r>
      <w:r>
        <w:rPr>
          <w:b/>
          <w:smallCaps/>
        </w:rPr>
        <w:t>|</w:t>
        <w:tab/>
        <w:t>Docket No. EL01-36-000</w:t>
      </w:r>
    </w:p>
    <w:p>
      <w:pPr>
        <w:pStyle w:val="Normal"/>
        <w:rPr>
          <w:b/>
          <w:smallCaps/>
        </w:rPr>
      </w:pPr>
      <w:r>
        <w:rPr>
          <w:b/>
          <w:smallCaps/>
        </w:rPr>
        <w:tab/>
        <w:tab/>
        <w:tab/>
        <w:tab/>
        <w:tab/>
        <w:tab/>
        <w:tab/>
        <w:t>|</w:t>
      </w:r>
    </w:p>
    <w:p>
      <w:pPr>
        <w:pStyle w:val="Normal"/>
        <w:rPr>
          <w:b/>
          <w:smallCaps/>
        </w:rPr>
      </w:pPr>
      <w:r>
        <w:rPr>
          <w:b/>
          <w:smallCaps/>
        </w:rPr>
        <w:t>California Power Exchange Corporation,</w:t>
        <w:tab/>
        <w:t>|</w:t>
      </w:r>
    </w:p>
    <w:p>
      <w:pPr>
        <w:pStyle w:val="Normal"/>
        <w:rPr>
          <w:b/>
          <w:smallCaps/>
        </w:rPr>
      </w:pPr>
      <w:r>
        <w:rPr>
          <w:b/>
          <w:smallCaps/>
        </w:rPr>
        <w:tab/>
        <w:tab/>
        <w:tab/>
        <w:tab/>
        <w:tab/>
        <w:tab/>
        <w:tab/>
        <w:t>|</w:t>
      </w:r>
    </w:p>
    <w:p>
      <w:pPr>
        <w:pStyle w:val="Normal"/>
        <w:rPr>
          <w:b/>
          <w:smallCaps/>
        </w:rPr>
      </w:pPr>
      <w:r>
        <w:rPr>
          <w:b/>
          <w:smallCaps/>
        </w:rPr>
        <w:tab/>
        <w:tab/>
        <w:tab/>
        <w:t>Respondent.</w:t>
        <w:tab/>
        <w:tab/>
        <w:tab/>
        <w:t>|</w:t>
      </w:r>
    </w:p>
    <w:p>
      <w:pPr>
        <w:pStyle w:val="Normal"/>
        <w:rPr>
          <w:b/>
          <w:smallCaps/>
        </w:rPr>
      </w:pPr>
      <w:r>
        <w:rPr>
          <w:b/>
          <w:smallCaps/>
        </w:rPr>
        <w:tab/>
        <w:tab/>
        <w:tab/>
        <w:tab/>
        <w:tab/>
        <w:tab/>
        <w:tab/>
      </w:r>
    </w:p>
    <w:p>
      <w:pPr>
        <w:pStyle w:val="Normal"/>
        <w:jc w:val="both"/>
        <w:rPr>
          <w:b/>
          <w:smallCaps/>
          <w:lang w:val="en-CA" w:eastAsia="en-CA"/>
        </w:rPr>
      </w:pPr>
      <w:r>
        <w:rPr>
          <w:b/>
          <w:smallCaps/>
          <w:lang w:val="en-CA" w:eastAsia="en-CA"/>
        </w:rPr>
        <mc:AlternateContent>
          <mc:Choice Requires="wps">
            <w:drawing>
              <wp:anchor behindDoc="0" distT="0" distB="0" distL="114935" distR="114935" simplePos="0" locked="0" layoutInCell="1" allowOverlap="1" relativeHeight="9">
                <wp:simplePos x="0" y="0"/>
                <wp:positionH relativeFrom="column">
                  <wp:posOffset>0</wp:posOffset>
                </wp:positionH>
                <wp:positionV relativeFrom="paragraph">
                  <wp:posOffset>15240</wp:posOffset>
                </wp:positionV>
                <wp:extent cx="5943600" cy="0"/>
                <wp:effectExtent l="0" t="19050" r="0" b="19050"/>
                <wp:wrapNone/>
                <wp:docPr id="2" name=""/>
                <a:graphic xmlns:a="http://schemas.openxmlformats.org/drawingml/2006/main">
                  <a:graphicData uri="http://schemas.microsoft.com/office/word/2010/wordprocessingShape">
                    <wps:wsp>
                      <wps:cNvSpPr/>
                      <wps:spPr>
                        <a:xfrm>
                          <a:off x="0" y="0"/>
                          <a:ext cx="59436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1.2pt" to="467.95pt,1.2pt" stroked="t" o:allowincell="f" style="position:absolute">
                <v:stroke color="black" weight="38160" joinstyle="miter" endcap="flat"/>
                <v:fill o:detectmouseclick="t" on="false"/>
                <w10:wrap type="none"/>
              </v:line>
            </w:pict>
          </mc:Fallback>
        </mc:AlternateContent>
      </w:r>
    </w:p>
    <w:p>
      <w:pPr>
        <w:pStyle w:val="Normal"/>
        <w:jc w:val="both"/>
        <w:rPr/>
      </w:pPr>
      <w:r>
        <w:rPr/>
      </w:r>
    </w:p>
    <w:p>
      <w:pPr>
        <w:pStyle w:val="Heading6"/>
        <w:ind w:hanging="0" w:start="0"/>
        <w:rPr>
          <w:sz w:val="28"/>
        </w:rPr>
      </w:pPr>
      <w:r>
        <w:rPr>
          <w:sz w:val="28"/>
        </w:rPr>
        <w:t>CALIFORNIA POWER EXCHANGE CORPORATION’S</w:t>
      </w:r>
    </w:p>
    <w:p>
      <w:pPr>
        <w:pStyle w:val="Heading4"/>
        <w:spacing w:lineRule="auto" w:line="240"/>
        <w:ind w:hanging="0" w:start="0"/>
        <w:jc w:val="center"/>
        <w:rPr/>
      </w:pPr>
      <w:r>
        <w:rPr>
          <w:sz w:val="28"/>
        </w:rPr>
        <w:t xml:space="preserve">ANSWER TO COMPLAINT </w:t>
      </w:r>
      <w:r>
        <w:rPr>
          <w:caps/>
          <w:sz w:val="28"/>
        </w:rPr>
        <w:t>REQUESTING FAST TRACK</w:t>
      </w:r>
    </w:p>
    <w:p>
      <w:pPr>
        <w:pStyle w:val="Heading4"/>
        <w:spacing w:lineRule="auto" w:line="240"/>
        <w:ind w:hanging="0" w:start="0"/>
        <w:jc w:val="center"/>
        <w:rPr>
          <w:caps/>
          <w:sz w:val="28"/>
        </w:rPr>
      </w:pPr>
      <w:r>
        <w:rPr>
          <w:caps/>
          <w:sz w:val="28"/>
        </w:rPr>
        <w:t>PROCESSING AND EMERGENCY SUSPENSION OF</w:t>
      </w:r>
    </w:p>
    <w:p>
      <w:pPr>
        <w:pStyle w:val="Heading4"/>
        <w:spacing w:lineRule="auto" w:line="240"/>
        <w:ind w:hanging="0" w:start="0"/>
        <w:jc w:val="center"/>
        <w:rPr>
          <w:caps/>
          <w:sz w:val="28"/>
        </w:rPr>
      </w:pPr>
      <w:r>
        <w:rPr>
          <w:caps/>
          <w:sz w:val="28"/>
        </w:rPr>
        <w:t>CALIFORNIA POWER EXCHANGE CORPORATION</w:t>
      </w:r>
    </w:p>
    <w:p>
      <w:pPr>
        <w:pStyle w:val="Heading4"/>
        <w:spacing w:lineRule="auto" w:line="240"/>
        <w:ind w:hanging="0" w:start="0"/>
        <w:jc w:val="center"/>
        <w:rPr>
          <w:caps/>
        </w:rPr>
      </w:pPr>
      <w:r>
        <w:rPr>
          <w:caps/>
          <w:sz w:val="28"/>
        </w:rPr>
        <w:t>DEFAULT CHARGEBACK TARIFF PROVISION</w:t>
      </w:r>
    </w:p>
    <w:p>
      <w:pPr>
        <w:pStyle w:val="Normal"/>
        <w:jc w:val="center"/>
        <w:rPr>
          <w:b/>
          <w:caps/>
        </w:rPr>
      </w:pPr>
      <w:r>
        <w:rPr>
          <w:b/>
          <w:caps/>
        </w:rPr>
      </w:r>
    </w:p>
    <w:p>
      <w:pPr>
        <w:pStyle w:val="Normal"/>
        <w:rPr>
          <w:b/>
        </w:rPr>
      </w:pPr>
      <w:r>
        <w:rPr>
          <w:b/>
        </w:rPr>
      </w:r>
    </w:p>
    <w:p>
      <w:pPr>
        <w:pStyle w:val="Normal"/>
        <w:spacing w:lineRule="auto" w:line="480"/>
        <w:jc w:val="both"/>
        <w:rPr/>
      </w:pPr>
      <w:r>
        <w:rPr>
          <w:b/>
        </w:rPr>
        <w:tab/>
      </w:r>
      <w:r>
        <w:rPr/>
        <w:t>The California Power Exchange Corporation (CalPX) hereby provides this initial Answer to the above-referenced Complaint filed by a group of participants in the CalPX markets.</w:t>
      </w:r>
      <w:r>
        <w:rPr>
          <w:rStyle w:val="FootnoteCharacters"/>
          <w:rStyle w:val="FootnoteReference"/>
        </w:rPr>
        <w:footnoteReference w:id="2"/>
      </w:r>
      <w:r>
        <w:rPr/>
        <w:t xml:space="preserve">  The purpose of this filing is strictly limited to addressing the procedural proposal in the Complaint, which seeks a Commission order by February 14, 2001, for a “standstill” of the “chargeback” provision in the CalPX Tariff (Schedule 2, Section 5.3).</w:t>
      </w:r>
      <w:r>
        <w:rPr>
          <w:rStyle w:val="FootnoteCharacters"/>
          <w:rStyle w:val="FootnoteReference"/>
        </w:rPr>
        <w:footnoteReference w:id="3"/>
      </w:r>
      <w:r>
        <w:rPr/>
        <w:t xml:space="preserve">  In particular, the Complaint alleges that application of that provision to the defaults of Pacific Gas and Electric Company (PG&amp;E) and Southern California Edison Company (SCE) yields unjust and unreasonable results.  Subject to certain essential conditions and clarifications discussed below, the CalPX agrees that the Commission should issue the requested standstill order while it considers the underlying Complaint.  By concurring with the proposed standstill, however, the CalPX does not concede the merits of the Complaint, which contains a number of significant factual and analytic errors.  CalPX will respond to those issues in an additional Answer to be filed as soon as possible.</w:t>
      </w:r>
    </w:p>
    <w:p>
      <w:pPr>
        <w:pStyle w:val="Normal"/>
        <w:spacing w:lineRule="auto" w:line="480"/>
        <w:ind w:firstLine="720" w:end="0"/>
        <w:jc w:val="both"/>
        <w:rPr/>
      </w:pPr>
      <w:r>
        <w:rPr/>
        <w:t xml:space="preserve">The conditions and clarifications that are essential in order to avoid harmful consequences and perverse results are as follows.  First, during the time that the standstill is in effect the Commission must also suspend the relevant provisions of both the Independent System Operator’s (CAISO) Tariff and the CalPX/CAISO Scheduling Coordinator agreement that hold the CalPX responsible as the principal for amounts owed to the CAISO by CalPX participants (but see discussion of the Grid Management Charge below).  Otherwise, the CalPX is in an untenable circumstance of exposure to ongoing financial liability due to its payment obligations to the CAISO.  In fact, because of the related issues under the CAISO tariff raised by the Complaint and resulting from the standstill request, the CAISO should also be named as a respondent in this matter.  </w:t>
      </w:r>
    </w:p>
    <w:p>
      <w:pPr>
        <w:pStyle w:val="Normal"/>
        <w:spacing w:lineRule="auto" w:line="480"/>
        <w:ind w:firstLine="720" w:end="0"/>
        <w:jc w:val="both"/>
        <w:rPr/>
      </w:pPr>
      <w:r>
        <w:rPr/>
        <w:t xml:space="preserve">Second, the CalPX cannot make payments to creditors of the CalPX resulting from its clearinghouse function while the “standstill” is in effect because apportionment of available cash from the clearing account when there is an insufficiency of funds in the CalPX clearing accounts directly requires the use of the default chargeback sections of the Tariff under review.  Therefore, the Commission must also adopt a standstill of the relevant portions of the CalPX Tariff that govern this payment obligation under Schedules 2 and 6 of the CalPX Tariff. </w:t>
      </w:r>
    </w:p>
    <w:p>
      <w:pPr>
        <w:pStyle w:val="FootnoteText"/>
        <w:spacing w:lineRule="auto" w:line="480"/>
        <w:ind w:firstLine="720" w:end="0"/>
        <w:jc w:val="both"/>
        <w:rPr/>
      </w:pPr>
      <w:r>
        <w:rPr>
          <w:sz w:val="24"/>
        </w:rPr>
        <w:t>Third, the CalPX must be permitted to continue to engage in its normal invoicing process for the Core (Day-Ahead, Day-Of, and Real-Time) and CTS markets as they come due while the standstill is in effect.  Because no payments will be made to creditors of the CalPX clearinghouse functions, however, CalPX will not be calculating the default chargeback on those invoices.</w:t>
      </w:r>
      <w:r>
        <w:rPr>
          <w:rStyle w:val="FootnoteCharacters"/>
          <w:rStyle w:val="FootnoteReference"/>
          <w:sz w:val="24"/>
        </w:rPr>
        <w:footnoteReference w:id="4"/>
      </w:r>
      <w:r>
        <w:rPr>
          <w:sz w:val="24"/>
        </w:rPr>
        <w:t xml:space="preserve">  CalPX will expect payments to be made by participants pursuant to those invoices.  This approach is consistent with the Complainants’ objective of simply preserving the “status quo ante” (Complaint, p. 20) while the Commission considers the underlying issues in the Complaint.  Relief from payment obligations unrelated to SCE, PG&amp;E and others who have defaulted would result in a windfall for those participants who would be relieved of payments due to CalPX and would go beyond the stated purpose of the Complaint.  From the amounts received and while the Complaint is pending, the CalPX will continue to draw upon the CalPX administrative fee and pay the CAISO Grid Management Charge, both of which provide essential operating revenues for the CAISO and the CalPX.  If participants fail to maintain their collateral requirement while the Complaint is pending, CalPX will also draw on any expiring collateral pursuant to the Tariff, but the collateral will be held and not applied to any chargebacks during the standstill period.</w:t>
      </w:r>
    </w:p>
    <w:p>
      <w:pPr>
        <w:pStyle w:val="FootnoteText"/>
        <w:spacing w:lineRule="auto" w:line="480"/>
        <w:ind w:firstLine="720" w:end="0"/>
        <w:jc w:val="both"/>
        <w:rPr>
          <w:sz w:val="24"/>
        </w:rPr>
      </w:pPr>
      <w:r>
        <w:rPr>
          <w:sz w:val="24"/>
        </w:rPr>
        <w:t>Fourth, any order the Commission adopts in this Complaint must be binding as to all CalPX participants and to the CAISO.  To help ensure all CalPX Participants and CAISO scheduling coordinators are on notice that this matter is pending and being addressed in an expedited and global manner, CalPX will electronically transmit this filing to all of its participants today (including the Complainants) and requests the CAISO be ordered to communicate to its scheduling coordinators.</w:t>
      </w:r>
      <w:r>
        <w:rPr>
          <w:rStyle w:val="FootnoteCharacters"/>
          <w:rStyle w:val="FootnoteReference"/>
          <w:sz w:val="24"/>
        </w:rPr>
        <w:footnoteReference w:id="5"/>
      </w:r>
    </w:p>
    <w:p>
      <w:pPr>
        <w:pStyle w:val="Normal"/>
        <w:spacing w:lineRule="auto" w:line="480"/>
        <w:ind w:firstLine="720" w:end="0"/>
        <w:jc w:val="both"/>
        <w:rPr/>
      </w:pPr>
      <w:r>
        <w:rPr/>
        <w:t>Finally, the Commission must address this Complaint as expeditiously as possible.  Failure to act swiftly as requested in the Complaint will subject all stakeholders to needless uncertainty during this time of ongoing challenges in the California electricity market.</w:t>
      </w:r>
      <w:r>
        <w:br w:type="page"/>
      </w:r>
    </w:p>
    <w:p>
      <w:pPr>
        <w:pStyle w:val="Heading4"/>
        <w:ind w:hanging="0" w:start="0"/>
        <w:jc w:val="center"/>
        <w:rPr/>
      </w:pPr>
      <w:r>
        <w:rPr/>
        <w:t>NOTICES AND COMMUNICATIONS</w:t>
      </w:r>
    </w:p>
    <w:p>
      <w:pPr>
        <w:pStyle w:val="Normal"/>
        <w:spacing w:lineRule="auto" w:line="480"/>
        <w:jc w:val="both"/>
        <w:rPr/>
      </w:pPr>
      <w:r>
        <w:rPr/>
        <w:tab/>
        <w:t>CalPX requests that the following individuals be placed on the official service list in this proceeding for purposes of receiving filings, notices and communications:</w:t>
      </w:r>
    </w:p>
    <w:p>
      <w:pPr>
        <w:pStyle w:val="Heading2"/>
        <w:ind w:hanging="0" w:start="0"/>
        <w:jc w:val="both"/>
        <w:rPr>
          <w:b w:val="false"/>
          <w:sz w:val="24"/>
        </w:rPr>
      </w:pPr>
      <w:r>
        <w:rPr>
          <w:b w:val="false"/>
          <w:sz w:val="24"/>
        </w:rPr>
      </w:r>
    </w:p>
    <w:p>
      <w:pPr>
        <w:pStyle w:val="Heading2"/>
        <w:ind w:hanging="0" w:start="0"/>
        <w:jc w:val="both"/>
        <w:rPr>
          <w:b w:val="false"/>
          <w:sz w:val="24"/>
        </w:rPr>
      </w:pPr>
      <w:r>
        <w:rPr>
          <w:b w:val="false"/>
          <w:sz w:val="24"/>
        </w:rPr>
        <w:t>Susan D. Rossi</w:t>
        <w:tab/>
        <w:tab/>
        <w:tab/>
        <w:tab/>
        <w:t>James H. McGrew</w:t>
      </w:r>
    </w:p>
    <w:p>
      <w:pPr>
        <w:pStyle w:val="Header"/>
        <w:tabs>
          <w:tab w:val="clear" w:pos="4320"/>
          <w:tab w:val="clear" w:pos="8640"/>
        </w:tabs>
        <w:rPr/>
      </w:pPr>
      <w:r>
        <w:rPr/>
        <w:t>Lisa G. Urick</w:t>
        <w:tab/>
        <w:tab/>
        <w:tab/>
        <w:tab/>
        <w:tab/>
        <w:t>Bruder, Gentile &amp; Marcoux, LLP</w:t>
      </w:r>
    </w:p>
    <w:p>
      <w:pPr>
        <w:pStyle w:val="Normal"/>
        <w:jc w:val="both"/>
        <w:rPr/>
      </w:pPr>
      <w:r>
        <w:rPr/>
        <w:t>California Power Exchange</w:t>
        <w:tab/>
        <w:tab/>
        <w:t>1100 New York Avenue, N.W.</w:t>
      </w:r>
    </w:p>
    <w:p>
      <w:pPr>
        <w:pStyle w:val="Normal"/>
        <w:jc w:val="both"/>
        <w:rPr/>
      </w:pPr>
      <w:r>
        <w:rPr/>
        <w:tab/>
        <w:t>Corporation</w:t>
        <w:tab/>
        <w:tab/>
        <w:tab/>
        <w:tab/>
        <w:t>Suite 510 East</w:t>
      </w:r>
    </w:p>
    <w:p>
      <w:pPr>
        <w:pStyle w:val="Normal"/>
        <w:jc w:val="both"/>
        <w:rPr/>
      </w:pPr>
      <w:r>
        <w:rPr/>
        <w:t>200 South Los Robles Ave.</w:t>
        <w:tab/>
        <w:tab/>
        <w:t>Washington, DC 20005-5304</w:t>
      </w:r>
    </w:p>
    <w:p>
      <w:pPr>
        <w:pStyle w:val="Normal"/>
        <w:jc w:val="both"/>
        <w:rPr/>
      </w:pPr>
      <w:r>
        <w:rPr/>
        <w:t>Suite 400</w:t>
        <w:tab/>
        <w:tab/>
        <w:tab/>
        <w:tab/>
        <w:tab/>
        <w:t>Phone (202) 783-1350</w:t>
      </w:r>
    </w:p>
    <w:p>
      <w:pPr>
        <w:pStyle w:val="Normal"/>
        <w:jc w:val="both"/>
        <w:rPr/>
      </w:pPr>
      <w:r>
        <w:rPr/>
        <w:t>Pasadena, CA 91101-2482</w:t>
        <w:tab/>
        <w:tab/>
        <w:t>Fax (202) 737-9117</w:t>
      </w:r>
    </w:p>
    <w:p>
      <w:pPr>
        <w:pStyle w:val="Normal"/>
        <w:jc w:val="both"/>
        <w:rPr/>
      </w:pPr>
      <w:r>
        <w:rPr/>
        <w:t>Phone (626) 537-3100</w:t>
        <w:tab/>
        <w:tab/>
        <w:tab/>
        <w:t xml:space="preserve">E-mail:  </w:t>
      </w:r>
      <w:hyperlink r:id="rId2">
        <w:r>
          <w:rPr>
            <w:rStyle w:val="Hyperlink"/>
          </w:rPr>
          <w:t>jhmcgrew@brudergentile.com</w:t>
        </w:r>
      </w:hyperlink>
    </w:p>
    <w:p>
      <w:pPr>
        <w:pStyle w:val="Normal"/>
        <w:jc w:val="both"/>
        <w:rPr/>
      </w:pPr>
      <w:r>
        <w:rPr/>
        <w:t>Fax (626) 537-3159</w:t>
      </w:r>
    </w:p>
    <w:p>
      <w:pPr>
        <w:pStyle w:val="Normal"/>
        <w:jc w:val="both"/>
        <w:rPr/>
      </w:pPr>
      <w:r>
        <w:rPr/>
        <w:t xml:space="preserve">E-mail:  </w:t>
      </w:r>
      <w:hyperlink r:id="rId3">
        <w:r>
          <w:rPr>
            <w:rStyle w:val="Hyperlink"/>
          </w:rPr>
          <w:t>lgurick@calpx.com</w:t>
        </w:r>
      </w:hyperlink>
    </w:p>
    <w:p>
      <w:pPr>
        <w:pStyle w:val="Normal"/>
        <w:jc w:val="both"/>
        <w:rPr/>
      </w:pPr>
      <w:r>
        <w:rPr/>
        <w:t xml:space="preserve">E-mail:  </w:t>
      </w:r>
      <w:r>
        <w:rPr>
          <w:u w:val="single"/>
        </w:rPr>
        <w:t>sdrossi@calpx.com</w:t>
      </w:r>
      <w:r>
        <w:br w:type="page"/>
      </w:r>
    </w:p>
    <w:p>
      <w:pPr>
        <w:pStyle w:val="Heading4"/>
        <w:ind w:hanging="0" w:start="0"/>
        <w:jc w:val="center"/>
        <w:rPr/>
      </w:pPr>
      <w:r>
        <w:rPr/>
        <w:t>CONCLUSION</w:t>
      </w:r>
    </w:p>
    <w:p>
      <w:pPr>
        <w:pStyle w:val="Normal"/>
        <w:spacing w:lineRule="auto" w:line="480"/>
        <w:jc w:val="both"/>
        <w:rPr/>
      </w:pPr>
      <w:r>
        <w:rPr/>
        <w:tab/>
        <w:t>The Commission should issue the requested standstill order with the conditions discussed above.  The Commission should issue a notice stating that determinations in this proceeding will be binding on all CalPX Participants and the CAISO.  CalPX’s agreement to the standstill order does not constitute a waiver of any argument or position with regard to the merits of the Complaint.  CalPX will file a detailed Answer to the Complaint as soon as possible explaining the factual and legal errors of the Complaint.</w:t>
      </w:r>
    </w:p>
    <w:p>
      <w:pPr>
        <w:pStyle w:val="Normal"/>
        <w:spacing w:lineRule="auto" w:line="480"/>
        <w:ind w:firstLine="720" w:end="0"/>
        <w:jc w:val="both"/>
        <w:rPr/>
      </w:pPr>
      <w:r>
        <w:rPr/>
        <w:tab/>
        <w:tab/>
        <w:tab/>
        <w:tab/>
        <w:tab/>
        <w:t>Respectfully submitted,</w:t>
      </w:r>
    </w:p>
    <w:p>
      <w:pPr>
        <w:pStyle w:val="Normal"/>
        <w:jc w:val="both"/>
        <w:rPr/>
      </w:pPr>
      <w:r>
        <w:rPr/>
        <w:tab/>
        <w:tab/>
        <w:tab/>
        <w:tab/>
        <w:tab/>
        <w:tab/>
        <w:t>BRUDER, GENTILE &amp; MARCOUX, L.L.P.</w:t>
      </w:r>
    </w:p>
    <w:p>
      <w:pPr>
        <w:pStyle w:val="Normal"/>
        <w:jc w:val="both"/>
        <w:rPr/>
      </w:pPr>
      <w:r>
        <w:rPr/>
      </w:r>
    </w:p>
    <w:p>
      <w:pPr>
        <w:pStyle w:val="Normal"/>
        <w:jc w:val="both"/>
        <w:rPr/>
      </w:pPr>
      <w:r>
        <w:rPr/>
      </w:r>
    </w:p>
    <w:p>
      <w:pPr>
        <w:pStyle w:val="Normal"/>
        <w:jc w:val="both"/>
        <w:rPr/>
      </w:pPr>
      <w:r>
        <w:rPr/>
        <w:t>Of counsel:</w:t>
      </w:r>
    </w:p>
    <w:p>
      <w:pPr>
        <w:pStyle w:val="Normal"/>
        <w:jc w:val="both"/>
        <w:rPr/>
      </w:pPr>
      <w:r>
        <w:rPr/>
        <w:tab/>
        <w:tab/>
        <w:tab/>
        <w:tab/>
        <w:tab/>
        <w:tab/>
        <w:t>___________________________________</w:t>
      </w:r>
    </w:p>
    <w:p>
      <w:pPr>
        <w:pStyle w:val="Normal"/>
        <w:jc w:val="both"/>
        <w:rPr/>
      </w:pPr>
      <w:r>
        <w:rPr/>
        <w:t>Susan D. Rossi</w:t>
        <w:tab/>
        <w:tab/>
        <w:tab/>
        <w:tab/>
        <w:t>David E. Goroff</w:t>
      </w:r>
    </w:p>
    <w:p>
      <w:pPr>
        <w:pStyle w:val="Normal"/>
        <w:jc w:val="both"/>
        <w:rPr/>
      </w:pPr>
      <w:r>
        <w:rPr/>
        <w:t>Lisa G. Urick</w:t>
        <w:tab/>
        <w:tab/>
        <w:tab/>
        <w:tab/>
        <w:tab/>
        <w:t>James H. McGrew</w:t>
      </w:r>
    </w:p>
    <w:p>
      <w:pPr>
        <w:pStyle w:val="Normal"/>
        <w:jc w:val="both"/>
        <w:rPr/>
      </w:pPr>
      <w:r>
        <w:rPr/>
        <w:t>California Power Exchange</w:t>
      </w:r>
    </w:p>
    <w:p>
      <w:pPr>
        <w:pStyle w:val="Normal"/>
        <w:ind w:firstLine="720" w:end="0"/>
        <w:jc w:val="both"/>
        <w:rPr/>
      </w:pPr>
      <w:r>
        <w:rPr/>
        <w:t>Corporation</w:t>
        <w:tab/>
        <w:tab/>
        <w:tab/>
        <w:tab/>
        <w:tab/>
        <w:t>1100 New York Avenue, N.W.</w:t>
      </w:r>
    </w:p>
    <w:p>
      <w:pPr>
        <w:pStyle w:val="Normal"/>
        <w:jc w:val="both"/>
        <w:rPr/>
      </w:pPr>
      <w:r>
        <w:rPr/>
        <w:t>200 South Los Robles Avenue</w:t>
        <w:tab/>
        <w:tab/>
        <w:tab/>
        <w:t>Suite 510 East</w:t>
      </w:r>
    </w:p>
    <w:p>
      <w:pPr>
        <w:pStyle w:val="Normal"/>
        <w:jc w:val="both"/>
        <w:rPr/>
      </w:pPr>
      <w:r>
        <w:rPr/>
        <w:t>Suite 400</w:t>
        <w:tab/>
        <w:tab/>
        <w:tab/>
        <w:tab/>
        <w:tab/>
        <w:tab/>
        <w:t>Washington, D.C. 20005-3934</w:t>
      </w:r>
    </w:p>
    <w:p>
      <w:pPr>
        <w:pStyle w:val="Normal"/>
        <w:jc w:val="both"/>
        <w:rPr/>
      </w:pPr>
      <w:r>
        <w:rPr/>
        <w:t>Pasadena, CA 91101-2482</w:t>
        <w:tab/>
        <w:tab/>
        <w:tab/>
        <w:t>Telephone: 202/783-1350</w:t>
      </w:r>
    </w:p>
    <w:p>
      <w:pPr>
        <w:pStyle w:val="Normal"/>
        <w:jc w:val="both"/>
        <w:rPr/>
      </w:pPr>
      <w:r>
        <w:rPr/>
        <w:t>Phone: 626/537-3100</w:t>
        <w:tab/>
        <w:tab/>
        <w:tab/>
        <w:tab/>
        <w:t>Facsimile: 202/737-9117</w:t>
      </w:r>
    </w:p>
    <w:p>
      <w:pPr>
        <w:pStyle w:val="Normal"/>
        <w:jc w:val="both"/>
        <w:rPr>
          <w:u w:val="single"/>
        </w:rPr>
      </w:pPr>
      <w:r>
        <w:rPr/>
        <w:t>Facsimile: 626/537-3159</w:t>
        <w:tab/>
        <w:tab/>
        <w:tab/>
        <w:tab/>
        <w:t xml:space="preserve">E-Mail: </w:t>
      </w:r>
      <w:hyperlink r:id="rId4">
        <w:r>
          <w:rPr>
            <w:rStyle w:val="Hyperlink"/>
          </w:rPr>
          <w:t>jhmcgrew@brudergentile.com</w:t>
        </w:r>
      </w:hyperlink>
    </w:p>
    <w:p>
      <w:pPr>
        <w:pStyle w:val="Normal"/>
        <w:jc w:val="both"/>
        <w:rPr>
          <w:u w:val="single"/>
        </w:rPr>
      </w:pPr>
      <w:r>
        <w:rPr/>
        <w:t xml:space="preserve">E-mail: </w:t>
      </w:r>
      <w:hyperlink r:id="rId5">
        <w:r>
          <w:rPr>
            <w:rStyle w:val="Hyperlink"/>
          </w:rPr>
          <w:t>lgurick@calpx.com</w:t>
        </w:r>
      </w:hyperlink>
    </w:p>
    <w:p>
      <w:pPr>
        <w:pStyle w:val="Normal"/>
        <w:jc w:val="both"/>
        <w:rPr>
          <w:u w:val="single"/>
        </w:rPr>
      </w:pPr>
      <w:r>
        <w:rPr/>
        <w:t xml:space="preserve">E-mail: </w:t>
      </w:r>
      <w:hyperlink r:id="rId6">
        <w:r>
          <w:rPr>
            <w:rStyle w:val="Hyperlink"/>
          </w:rPr>
          <w:t>sdrossi@calpx.com</w:t>
        </w:r>
      </w:hyperlink>
    </w:p>
    <w:p>
      <w:pPr>
        <w:pStyle w:val="Normal"/>
        <w:jc w:val="both"/>
        <w:rPr>
          <w:u w:val="single"/>
        </w:rPr>
      </w:pPr>
      <w:r>
        <w:rPr>
          <w:u w:val="single"/>
        </w:rPr>
      </w:r>
    </w:p>
    <w:p>
      <w:pPr>
        <w:pStyle w:val="Normal"/>
        <w:jc w:val="both"/>
        <w:rPr>
          <w:u w:val="single"/>
        </w:rPr>
      </w:pPr>
      <w:r>
        <w:rPr>
          <w:u w:val="single"/>
        </w:rPr>
      </w:r>
    </w:p>
    <w:p>
      <w:pPr>
        <w:pStyle w:val="Normal"/>
        <w:jc w:val="both"/>
        <w:rPr>
          <w:u w:val="single"/>
        </w:rPr>
      </w:pPr>
      <w:r>
        <w:rPr>
          <w:u w:val="single"/>
        </w:rPr>
      </w:r>
    </w:p>
    <w:p>
      <w:pPr>
        <w:pStyle w:val="Normal"/>
        <w:spacing w:lineRule="auto" w:line="480"/>
        <w:jc w:val="both"/>
        <w:rPr/>
      </w:pPr>
      <w:r>
        <w:rPr/>
        <w:t>February 12, 2001</w:t>
      </w:r>
    </w:p>
    <w:p>
      <w:pPr>
        <w:pStyle w:val="Header"/>
        <w:tabs>
          <w:tab w:val="clear" w:pos="4320"/>
          <w:tab w:val="right" w:pos="8640" w:leader="none"/>
        </w:tabs>
        <w:rPr/>
      </w:pPr>
      <w:r>
        <w:rPr/>
      </w:r>
    </w:p>
    <w:p>
      <w:pPr>
        <w:pStyle w:val="Header"/>
        <w:tabs>
          <w:tab w:val="clear" w:pos="4320"/>
          <w:tab w:val="right" w:pos="8640" w:leader="none"/>
        </w:tabs>
        <w:rPr/>
      </w:pPr>
      <w:r>
        <w:rPr/>
      </w:r>
    </w:p>
    <w:p>
      <w:pPr>
        <w:pStyle w:val="Header"/>
        <w:tabs>
          <w:tab w:val="clear" w:pos="4320"/>
          <w:tab w:val="right" w:pos="864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/mnt/main-storage/datasets/enron-docs/doc/BLF0078.DOC</w:t>
      </w:r>
      <w:r>
        <w:rPr>
          <w:sz w:val="16"/>
        </w:rPr>
        <w:fldChar w:fldCharType="end"/>
      </w:r>
    </w:p>
    <w:p>
      <w:pPr>
        <w:sectPr>
          <w:headerReference w:type="default" r:id="rId7"/>
          <w:headerReference w:type="first" r:id="rId8"/>
          <w:footnotePr>
            <w:numFmt w:val="decimal"/>
          </w:footnotePr>
          <w:type w:val="nextPage"/>
          <w:pgSz w:w="12240" w:h="15840"/>
          <w:pgMar w:left="1440" w:right="1440" w:gutter="0" w:header="720" w:top="776" w:footer="0" w:bottom="1296"/>
          <w:pgNumType w:fmt="decimal"/>
          <w:formProt w:val="false"/>
          <w:titlePg/>
          <w:textDirection w:val="lrTb"/>
          <w:docGrid w:type="default" w:linePitch="360" w:charSpace="0"/>
        </w:sectPr>
        <w:pStyle w:val="Normal"/>
        <w:rPr/>
      </w:pPr>
      <w:r>
        <w:rPr/>
      </w:r>
    </w:p>
    <w:p>
      <w:pPr>
        <w:pStyle w:val="Heading1"/>
        <w:ind w:hanging="0" w:start="0"/>
        <w:rPr/>
      </w:pPr>
      <w:r>
        <w:rPr/>
      </w:r>
    </w:p>
    <w:p>
      <w:pPr>
        <w:pStyle w:val="Heading1"/>
        <w:ind w:hanging="0" w:start="0"/>
        <w:rPr/>
      </w:pPr>
      <w:r>
        <w:rPr/>
      </w:r>
    </w:p>
    <w:p>
      <w:pPr>
        <w:pStyle w:val="Heading1"/>
        <w:ind w:hanging="0" w:start="0"/>
        <w:rPr/>
      </w:pPr>
      <w:r>
        <w:rPr/>
        <w:t>CERTIFICATE OF SERVICE</w:t>
      </w:r>
    </w:p>
    <w:p>
      <w:pPr>
        <w:pStyle w:val="Normal"/>
        <w:rPr>
          <w:b/>
          <w:sz w:val="28"/>
        </w:rPr>
      </w:pPr>
      <w:r>
        <w:rPr>
          <w:b/>
          <w:sz w:val="28"/>
        </w:rPr>
      </w:r>
    </w:p>
    <w:p>
      <w:pPr>
        <w:pStyle w:val="Normal"/>
        <w:spacing w:lineRule="auto" w:line="480"/>
        <w:jc w:val="both"/>
        <w:rPr/>
      </w:pPr>
      <w:r>
        <w:rPr>
          <w:b/>
        </w:rPr>
        <w:tab/>
      </w:r>
      <w:r>
        <w:rPr/>
        <w:t>I hereby certify that I have this day served the foregoing document upon each person designated on the official service list compiled by the Secretary in this proceeding and that I have e-mailed the document to each of the Complainants who listed an e-mail address in the Complaint.</w:t>
      </w:r>
    </w:p>
    <w:p>
      <w:pPr>
        <w:pStyle w:val="Normal"/>
        <w:spacing w:lineRule="auto" w:line="480"/>
        <w:rPr/>
      </w:pPr>
      <w:r>
        <w:rPr/>
        <w:tab/>
        <w:t>Dated at Washington, D.C. this 12</w:t>
      </w:r>
      <w:r>
        <w:rPr>
          <w:vertAlign w:val="superscript"/>
        </w:rPr>
        <w:t>th</w:t>
      </w:r>
      <w:r>
        <w:rPr/>
        <w:t xml:space="preserve"> day of February, 2001.</w:t>
      </w:r>
    </w:p>
    <w:p>
      <w:pPr>
        <w:pStyle w:val="Header"/>
        <w:tabs>
          <w:tab w:val="clear" w:pos="4320"/>
          <w:tab w:val="clear" w:pos="8640"/>
        </w:tabs>
        <w:rPr/>
      </w:pPr>
      <w:r>
        <w:rPr/>
      </w:r>
    </w:p>
    <w:p>
      <w:pPr>
        <w:pStyle w:val="Header"/>
        <w:tabs>
          <w:tab w:val="clear" w:pos="4320"/>
          <w:tab w:val="clear" w:pos="8640"/>
        </w:tabs>
        <w:rPr/>
      </w:pPr>
      <w:r>
        <w:rPr/>
      </w:r>
    </w:p>
    <w:p>
      <w:pPr>
        <w:pStyle w:val="Normal"/>
        <w:rPr/>
      </w:pPr>
      <w:r>
        <w:rPr/>
        <w:tab/>
        <w:tab/>
        <w:tab/>
        <w:tab/>
        <w:tab/>
        <w:tab/>
        <w:tab/>
      </w:r>
      <w:r>
        <w:rPr>
          <w:u w:val="single"/>
        </w:rPr>
        <w:t>_____________________________</w:t>
      </w:r>
    </w:p>
    <w:p>
      <w:pPr>
        <w:pStyle w:val="Header"/>
        <w:tabs>
          <w:tab w:val="clear" w:pos="4320"/>
          <w:tab w:val="clear" w:pos="8640"/>
        </w:tabs>
        <w:rPr/>
      </w:pPr>
      <w:r>
        <w:rPr/>
        <w:tab/>
        <w:tab/>
        <w:tab/>
        <w:tab/>
        <w:tab/>
        <w:tab/>
        <w:tab/>
        <w:tab/>
        <w:t>James H. McGrew</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t>Bruder, Gentile &amp; Marcoux, L.L.P.</w:t>
      </w:r>
    </w:p>
    <w:p>
      <w:pPr>
        <w:pStyle w:val="Header"/>
        <w:tabs>
          <w:tab w:val="clear" w:pos="4320"/>
          <w:tab w:val="clear" w:pos="8640"/>
        </w:tabs>
        <w:rPr/>
      </w:pPr>
      <w:r>
        <w:rPr/>
        <w:t>1100 New York Avenue, N.W.</w:t>
      </w:r>
    </w:p>
    <w:p>
      <w:pPr>
        <w:pStyle w:val="Header"/>
        <w:tabs>
          <w:tab w:val="clear" w:pos="4320"/>
          <w:tab w:val="clear" w:pos="8640"/>
        </w:tabs>
        <w:rPr/>
      </w:pPr>
      <w:r>
        <w:rPr/>
        <w:t>Suite 510 East</w:t>
      </w:r>
    </w:p>
    <w:p>
      <w:pPr>
        <w:pStyle w:val="Header"/>
        <w:tabs>
          <w:tab w:val="clear" w:pos="4320"/>
          <w:tab w:val="clear" w:pos="8640"/>
        </w:tabs>
        <w:rPr/>
      </w:pPr>
      <w:r>
        <w:rPr/>
        <w:t>Washington, D.C. 20005-3934</w:t>
      </w:r>
    </w:p>
    <w:p>
      <w:pPr>
        <w:pStyle w:val="Header"/>
        <w:tabs>
          <w:tab w:val="clear" w:pos="4320"/>
          <w:tab w:val="clear" w:pos="8640"/>
        </w:tabs>
        <w:rPr/>
      </w:pPr>
      <w:r>
        <w:rPr/>
        <w:t>Telephone: 202/783-1350</w:t>
      </w:r>
    </w:p>
    <w:p>
      <w:pPr>
        <w:pStyle w:val="Header"/>
        <w:tabs>
          <w:tab w:val="clear" w:pos="4320"/>
          <w:tab w:val="clear" w:pos="8640"/>
        </w:tabs>
        <w:rPr/>
      </w:pPr>
      <w:r>
        <w:rPr/>
        <w:t>Telecopier: 202/737-9117</w:t>
      </w:r>
    </w:p>
    <w:p>
      <w:pPr>
        <w:pStyle w:val="Header"/>
        <w:tabs>
          <w:tab w:val="clear" w:pos="4320"/>
          <w:tab w:val="clear" w:pos="8640"/>
        </w:tabs>
        <w:rPr/>
      </w:pPr>
      <w:r>
        <w:rPr/>
        <w:t xml:space="preserve">E-Mail: jhmcgrew@brudergentile.com </w:t>
      </w:r>
    </w:p>
    <w:p>
      <w:pPr>
        <w:pStyle w:val="Header"/>
        <w:tabs>
          <w:tab w:val="clear" w:pos="4320"/>
          <w:tab w:val="clear" w:pos="8640"/>
        </w:tabs>
        <w:rPr/>
      </w:pPr>
      <w:r>
        <w:rPr/>
      </w:r>
    </w:p>
    <w:p>
      <w:pPr>
        <w:pStyle w:val="Header"/>
        <w:tabs>
          <w:tab w:val="clear" w:pos="4320"/>
          <w:tab w:val="clear" w:pos="8640"/>
        </w:tabs>
        <w:rPr/>
      </w:pPr>
      <w:r>
        <w:rPr/>
        <w:t>Counsel for California Power Exchange Corporation</w:t>
      </w:r>
    </w:p>
    <w:p>
      <w:pPr>
        <w:pStyle w:val="Normal"/>
        <w:rPr/>
      </w:pPr>
      <w:r>
        <w:rPr/>
      </w:r>
    </w:p>
    <w:sectPr>
      <w:headerReference w:type="default" r:id="rId9"/>
      <w:headerReference w:type="first" r:id="rId10"/>
      <w:footnotePr>
        <w:numFmt w:val="decimal"/>
      </w:footnotePr>
      <w:type w:val="nextPage"/>
      <w:pgSz w:w="12240" w:h="15840"/>
      <w:pgMar w:left="1440" w:right="1440" w:gutter="0" w:header="720" w:top="1008"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60"/>
        <w:ind w:hanging="720" w:start="720" w:end="0"/>
        <w:jc w:val="both"/>
        <w:rPr/>
      </w:pPr>
      <w:r>
        <w:rPr>
          <w:rStyle w:val="FootnoteCharacters"/>
        </w:rPr>
        <w:footnoteRef/>
      </w:r>
      <w:r>
        <w:rPr/>
        <w:t xml:space="preserve"> </w:t>
      </w:r>
      <w:r>
        <w:rPr/>
        <w:tab/>
        <w:t xml:space="preserve">Coral Power, L.L.C., Enron Power Marketing, Inc., Arizona Public Service Company, Cargill-Alliant, LLC, San Diego Gas &amp; Electric Company, Avista Energy, Inc., Sempra Energy Trading Corp., PacifiCorp, and Constellation Power Source, referred to jointly herein as “Complainants.”  At the time of this filing, CalPX is also in receipt the Motion of Powerex Corporation to intervene in support of the Complaint.  </w:t>
      </w:r>
    </w:p>
  </w:footnote>
  <w:footnote w:id="3">
    <w:p>
      <w:pPr>
        <w:pStyle w:val="FootnoteText"/>
        <w:spacing w:before="0" w:after="60"/>
        <w:ind w:hanging="720" w:start="720" w:end="0"/>
        <w:jc w:val="both"/>
        <w:rPr/>
      </w:pPr>
      <w:r>
        <w:rPr>
          <w:rStyle w:val="FootnoteCharacters"/>
        </w:rPr>
        <w:footnoteRef/>
      </w:r>
      <w:r>
        <w:rPr/>
        <w:t xml:space="preserve"> </w:t>
      </w:r>
      <w:r>
        <w:rPr/>
        <w:tab/>
        <w:t xml:space="preserve">Invoices containing the most recent default allocations of PG&amp;E and SCE and others were issued on the evening of February 8, 2001, and payment is requested by February 20, 2001 (not February 15, 2001 as stated in the Complaint).  </w:t>
      </w:r>
    </w:p>
  </w:footnote>
  <w:footnote w:id="4">
    <w:p>
      <w:pPr>
        <w:pStyle w:val="FootnoteText"/>
        <w:keepLines/>
        <w:ind w:hanging="720" w:start="720" w:end="0"/>
        <w:jc w:val="both"/>
        <w:rPr/>
      </w:pPr>
      <w:r>
        <w:rPr>
          <w:rStyle w:val="FootnoteCharacters"/>
        </w:rPr>
        <w:footnoteRef/>
      </w:r>
      <w:r>
        <w:rPr/>
        <w:t xml:space="preserve"> </w:t>
      </w:r>
      <w:r>
        <w:rPr/>
        <w:tab/>
        <w:t>It is important to recall that there is a billing lag for CalPX/CAISO Real-Time market transactions.  Therefore, even though the CalPX has suspended the Day-Ahead and Day-Of markets as of January 31, 2001 while the Commission reviews the issue of the soft-price cap, billings for past transactions for November Real-Time Finals, and December, January and February preliminary and final Real-Time market transactions, must continue during this standstill review as these are the sources for the CalPX and the CAISO’s administrative fees and Grid Management Charges which keep these entities financially viable.  If the January billing issued on the soft-price cap is resolved before this standstill is removed, CalPX will be allowed to bill for that activity; however, the standstill will still apply to payments of CalPX to creditors of the CalPX clearinghouse functions.</w:t>
      </w:r>
    </w:p>
    <w:p>
      <w:pPr>
        <w:pStyle w:val="FootnoteText"/>
        <w:keepLines/>
        <w:spacing w:before="0" w:after="60"/>
        <w:ind w:hanging="720" w:start="720" w:end="0"/>
        <w:jc w:val="both"/>
        <w:rPr/>
      </w:pPr>
      <w:r>
        <w:rPr/>
      </w:r>
    </w:p>
  </w:footnote>
  <w:footnote w:id="5">
    <w:p>
      <w:pPr>
        <w:pStyle w:val="FootnoteText"/>
        <w:keepLines/>
        <w:spacing w:before="0" w:after="60"/>
        <w:ind w:hanging="720" w:start="720" w:end="0"/>
        <w:jc w:val="both"/>
        <w:rPr/>
      </w:pPr>
      <w:r>
        <w:rPr>
          <w:rStyle w:val="FootnoteCharacters"/>
        </w:rPr>
        <w:footnoteRef/>
      </w:r>
      <w:r>
        <w:rPr/>
        <w:t xml:space="preserve">   </w:t>
      </w:r>
      <w:r>
        <w:rPr/>
        <w:tab/>
        <w:t>The Commission’s Rules of Practice and Procedure make no provision for impleading third parties.  Accordingly, CalPX requests that the Commission issue a notice in this proceeding stating that the determinations in this proceeding will be binding on all CalPX Participants and the CAISO and, of course, permitting those entities to intervene and participate.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t>Docket No. EL01-36-000</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6">
              <wp:simplePos x="0" y="0"/>
              <wp:positionH relativeFrom="column">
                <wp:posOffset>51435</wp:posOffset>
              </wp:positionH>
              <wp:positionV relativeFrom="paragraph">
                <wp:posOffset>64770</wp:posOffset>
              </wp:positionV>
              <wp:extent cx="5943600" cy="0"/>
              <wp:effectExtent l="0" t="9525" r="0" b="9525"/>
              <wp:wrapNone/>
              <wp:docPr id="3"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4.05pt,5.1pt" to="472pt,5.1pt" stroked="t" o:allowincell="f" style="position:absolute">
              <v:stroke color="black" weight="19080" joinstyle="miter" endcap="flat"/>
              <v:fill o:detectmouseclick="t" on="false"/>
              <w10:wrap type="none"/>
            </v:line>
          </w:pict>
        </mc:Fallback>
      </mc:AlternateConten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mallCaps/>
      </w:rPr>
    </w:pPr>
    <w:r>
      <w:rPr>
        <w:smallCaps/>
      </w:rPr>
      <w:t>Appendix A – Additional Price Cap Implementation Issues</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7">
              <wp:simplePos x="0" y="0"/>
              <wp:positionH relativeFrom="column">
                <wp:posOffset>51435</wp:posOffset>
              </wp:positionH>
              <wp:positionV relativeFrom="paragraph">
                <wp:posOffset>64770</wp:posOffset>
              </wp:positionV>
              <wp:extent cx="5943600" cy="0"/>
              <wp:effectExtent l="0" t="9525" r="0" b="9525"/>
              <wp:wrapNone/>
              <wp:docPr id="4" name=""/>
              <a:graphic xmlns:a="http://schemas.openxmlformats.org/drawingml/2006/main">
                <a:graphicData uri="http://schemas.microsoft.com/office/word/2010/wordprocessingShape">
                  <wps:wsp>
                    <wps:cNvSpPr/>
                    <wps:spPr>
                      <a:xfrm>
                        <a:off x="0" y="0"/>
                        <a:ext cx="59436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4.05pt,5.1pt" to="472pt,5.1pt" stroked="t" o:allowincell="f" style="position:absolute">
              <v:stroke color="black" weight="19080" joinstyle="miter" endcap="flat"/>
              <v:fill o:detectmouseclick="t" on="false"/>
              <w10:wrap type="none"/>
            </v:line>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jc w:val="center"/>
      <w:outlineLvl w:val="1"/>
    </w:pPr>
    <w:rPr>
      <w:b/>
      <w:sz w:val="32"/>
    </w:rPr>
  </w:style>
  <w:style w:type="paragraph" w:styleId="Heading3">
    <w:name w:val="heading 3"/>
    <w:basedOn w:val="Normal"/>
    <w:next w:val="Normal"/>
    <w:qFormat/>
    <w:pPr>
      <w:keepNext w:val="true"/>
      <w:numPr>
        <w:ilvl w:val="2"/>
        <w:numId w:val="1"/>
      </w:numPr>
      <w:ind w:hanging="720" w:start="720" w:end="0"/>
      <w:jc w:val="both"/>
      <w:outlineLvl w:val="2"/>
    </w:pPr>
    <w:rPr>
      <w:b/>
      <w:smallCaps/>
    </w:rPr>
  </w:style>
  <w:style w:type="paragraph" w:styleId="Heading4">
    <w:name w:val="heading 4"/>
    <w:basedOn w:val="Normal"/>
    <w:next w:val="Normal"/>
    <w:qFormat/>
    <w:pPr>
      <w:keepNext w:val="true"/>
      <w:numPr>
        <w:ilvl w:val="3"/>
        <w:numId w:val="1"/>
      </w:numPr>
      <w:spacing w:lineRule="auto" w:line="480"/>
      <w:outlineLvl w:val="3"/>
    </w:pPr>
    <w:rPr>
      <w:b/>
      <w:bCs/>
    </w:rPr>
  </w:style>
  <w:style w:type="paragraph" w:styleId="Heading5">
    <w:name w:val="heading 5"/>
    <w:basedOn w:val="Normal"/>
    <w:next w:val="Normal"/>
    <w:qFormat/>
    <w:pPr>
      <w:keepNext w:val="true"/>
      <w:numPr>
        <w:ilvl w:val="4"/>
        <w:numId w:val="1"/>
      </w:numPr>
      <w:spacing w:lineRule="auto" w:line="480"/>
      <w:jc w:val="both"/>
      <w:outlineLvl w:val="4"/>
    </w:pPr>
    <w:rPr>
      <w:b/>
      <w:bCs/>
    </w:rPr>
  </w:style>
  <w:style w:type="paragraph" w:styleId="Heading6">
    <w:name w:val="heading 6"/>
    <w:basedOn w:val="Normal"/>
    <w:next w:val="Normal"/>
    <w:qFormat/>
    <w:pPr>
      <w:keepNext w:val="true"/>
      <w:numPr>
        <w:ilvl w:val="5"/>
        <w:numId w:val="1"/>
      </w:numPr>
      <w:jc w:val="center"/>
      <w:outlineLvl w:val="5"/>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FootnoteCharacters">
    <w:name w:val="Footnote Characters"/>
    <w:qFormat/>
    <w:rPr>
      <w:rFonts w:ascii="Arial" w:hAnsi="Arial" w:cs="Arial"/>
      <w:b/>
      <w:sz w:val="20"/>
      <w:u w:val="single"/>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rFonts w:ascii="Times New Roman" w:hAnsi="Times New Roman" w:cs="Times New Roman"/>
      <w:b/>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6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rFonts w:ascii="Times New Roman" w:hAnsi="Times New Roman" w:cs="Times New Roman"/>
      <w:sz w:val="22"/>
    </w:rPr>
  </w:style>
  <w:style w:type="paragraph" w:styleId="BodyTextIndent2">
    <w:name w:val="Body Text Indent 2"/>
    <w:basedOn w:val="Normal"/>
    <w:qFormat/>
    <w:pPr>
      <w:spacing w:lineRule="auto" w:line="480"/>
      <w:ind w:firstLine="720" w:start="0" w:end="0"/>
    </w:pPr>
    <w:rPr/>
  </w:style>
  <w:style w:type="paragraph" w:styleId="BodyText3">
    <w:name w:val="Body Text 3"/>
    <w:basedOn w:val="Normal"/>
    <w:qFormat/>
    <w:pPr>
      <w:spacing w:lineRule="atLeast" w:line="240" w:before="0" w:after="120"/>
    </w:pPr>
    <w:rPr>
      <w:rFonts w:ascii="Times New Roman" w:hAnsi="Times New Roman" w:cs="Times New Roman"/>
      <w:color w:val="000000"/>
      <w:sz w:val="22"/>
    </w:rPr>
  </w:style>
  <w:style w:type="paragraph" w:styleId="BodyText2">
    <w:name w:val="Body Text 2"/>
    <w:basedOn w:val="Normal"/>
    <w:qFormat/>
    <w:pPr>
      <w:jc w:val="center"/>
    </w:pPr>
    <w:rPr>
      <w:b/>
      <w:smallCaps/>
      <w:sz w:val="28"/>
    </w:rPr>
  </w:style>
  <w:style w:type="paragraph" w:styleId="Normal12">
    <w:name w:val="Normal 12"/>
    <w:basedOn w:val="Normal"/>
    <w:qFormat/>
    <w:pPr/>
    <w:rPr>
      <w:rFonts w:ascii="Times New Roman" w:hAnsi="Times New Roman" w:cs="Times New Roman"/>
    </w:rPr>
  </w:style>
  <w:style w:type="paragraph" w:styleId="BodyTextIndent3">
    <w:name w:val="Body Text Indent 3"/>
    <w:basedOn w:val="Normal"/>
    <w:qFormat/>
    <w:pPr>
      <w:ind w:hanging="720" w:start="720" w:end="0"/>
      <w:jc w:val="both"/>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hmcgrew@brudergentile.com" TargetMode="External"/><Relationship Id="rId3" Type="http://schemas.openxmlformats.org/officeDocument/2006/relationships/hyperlink" Target="mailto:lgurick@calpx.com" TargetMode="External"/><Relationship Id="rId4" Type="http://schemas.openxmlformats.org/officeDocument/2006/relationships/hyperlink" Target="mailto:jhmcgrew@brudergentile.com" TargetMode="External"/><Relationship Id="rId5" Type="http://schemas.openxmlformats.org/officeDocument/2006/relationships/hyperlink" Target="mailto:lgurick@calpx.com" TargetMode="External"/><Relationship Id="rId6" Type="http://schemas.openxmlformats.org/officeDocument/2006/relationships/hyperlink" Target="mailto:sdrossi@calpx.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FERC Draft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2001-02-12T16:09:00Z</dcterms:created>
  <dc:creator>Barbara Fetherolf</dc:creator>
  <dc:description/>
  <dc:language>en-CA</dc:language>
  <cp:lastModifiedBy>Administrator</cp:lastModifiedBy>
  <cp:lastPrinted>2001-02-12T13:12:00Z</cp:lastPrinted>
  <dcterms:modified xsi:type="dcterms:W3CDTF">2001-02-12T16:09:00Z</dcterms:modified>
  <cp:revision>2</cp:revision>
  <dc:subject/>
  <dc:title>PX Answer to Complaint in EL01-36.final  (BLF0078.DOC;1)</dc:title>
</cp:coreProperties>
</file>