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240"/>
        <w:rPr>
          <w:u w:val="single"/>
        </w:rPr>
      </w:pPr>
      <w:r>
        <w:rPr>
          <w:u w:val="single"/>
        </w:rPr>
        <w:t>COVER SHEET</w:t>
      </w:r>
    </w:p>
    <w:p>
      <w:pPr>
        <w:pStyle w:val="coverbody"/>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9590" w:type="dxa"/>
        <w:jc w:val="start"/>
        <w:tblInd w:w="0" w:type="dxa"/>
        <w:tblLayout w:type="fixed"/>
        <w:tblCellMar>
          <w:top w:w="0" w:type="dxa"/>
          <w:start w:w="108" w:type="dxa"/>
          <w:bottom w:w="0" w:type="dxa"/>
          <w:end w:w="108" w:type="dxa"/>
        </w:tblCellMar>
      </w:tblPr>
      <w:tblGrid>
        <w:gridCol w:w="4878"/>
        <w:gridCol w:w="4712"/>
      </w:tblGrid>
      <w:tr>
        <w:trPr/>
        <w:tc>
          <w:tcPr>
            <w:tcW w:w="4878" w:type="dxa"/>
            <w:tcBorders/>
          </w:tcPr>
          <w:p>
            <w:pPr>
              <w:pStyle w:val="MacroText"/>
              <w:tabs>
                <w:tab w:val="clear" w:pos="480"/>
                <w:tab w:val="clear" w:pos="960"/>
                <w:tab w:val="clear" w:pos="1440"/>
                <w:tab w:val="clear" w:pos="1920"/>
                <w:tab w:val="clear" w:pos="2400"/>
                <w:tab w:val="clear" w:pos="2880"/>
                <w:tab w:val="clear" w:pos="3360"/>
                <w:tab w:val="clear" w:pos="3840"/>
                <w:tab w:val="right" w:pos="4320" w:leader="none"/>
              </w:tabs>
              <w:jc w:val="center"/>
              <w:rPr>
                <w:rFonts w:ascii="Times New Roman" w:hAnsi="Times New Roman" w:cs="Times New Roman"/>
              </w:rPr>
            </w:pPr>
            <w:r>
              <w:rPr>
                <w:rFonts w:cs="Times New Roman" w:ascii="Times New Roman" w:hAnsi="Times New Roman"/>
              </w:rPr>
              <w:t>Enron Power Marketing, Inc.</w:t>
            </w:r>
          </w:p>
          <w:p>
            <w:pPr>
              <w:pStyle w:val="MacroText"/>
              <w:tabs>
                <w:tab w:val="clear" w:pos="480"/>
                <w:tab w:val="clear" w:pos="960"/>
                <w:tab w:val="clear" w:pos="1440"/>
                <w:tab w:val="clear" w:pos="1920"/>
                <w:tab w:val="clear" w:pos="2400"/>
                <w:tab w:val="clear" w:pos="2880"/>
                <w:tab w:val="clear" w:pos="3360"/>
                <w:tab w:val="clear" w:pos="3840"/>
                <w:tab w:val="right" w:pos="4320" w:leader="none"/>
              </w:tabs>
              <w:spacing w:before="0" w:after="8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(“Enron” or “Party A”)</w:t>
            </w:r>
          </w:p>
        </w:tc>
        <w:tc>
          <w:tcPr>
            <w:tcW w:w="4712" w:type="dxa"/>
            <w:tcBorders/>
          </w:tcPr>
          <w:p>
            <w:pPr>
              <w:pStyle w:val="BodyTextIndent21"/>
              <w:spacing w:before="80" w:after="0"/>
              <w:jc w:val="center"/>
              <w:rPr/>
            </w:pPr>
            <w:r>
              <w:rPr/>
              <w:t>Massachusetts Municipal Wholesale Electric Co.</w:t>
            </w:r>
          </w:p>
          <w:p>
            <w:pPr>
              <w:pStyle w:val="Normal"/>
              <w:tabs>
                <w:tab w:val="clear" w:pos="720"/>
                <w:tab w:val="right" w:pos="4475" w:leader="none"/>
              </w:tabs>
              <w:spacing w:before="0" w:after="80"/>
              <w:ind w:start="245" w:end="0"/>
              <w:jc w:val="center"/>
              <w:rPr>
                <w:sz w:val="20"/>
              </w:rPr>
            </w:pPr>
            <w:r>
              <w:rPr>
                <w:sz w:val="20"/>
              </w:rPr>
              <w:t>(“MMWEC” or “Party B”)</w:t>
            </w:r>
          </w:p>
        </w:tc>
      </w:tr>
      <w:tr>
        <w:trPr/>
        <w:tc>
          <w:tcPr>
            <w:tcW w:w="4878" w:type="dxa"/>
            <w:tcBorders/>
          </w:tcPr>
          <w:p>
            <w:pPr>
              <w:pStyle w:val="Normal"/>
              <w:tabs>
                <w:tab w:val="clear" w:pos="720"/>
                <w:tab w:val="right" w:pos="4320" w:leader="none"/>
              </w:tabs>
              <w:spacing w:before="0" w:after="160"/>
              <w:rPr>
                <w:sz w:val="20"/>
              </w:rPr>
            </w:pPr>
            <w:r>
              <w:rPr>
                <w:sz w:val="20"/>
              </w:rPr>
              <w:t>All Notices:</w:t>
            </w:r>
          </w:p>
        </w:tc>
        <w:tc>
          <w:tcPr>
            <w:tcW w:w="4712" w:type="dxa"/>
            <w:tcBorders/>
          </w:tcPr>
          <w:p>
            <w:pPr>
              <w:pStyle w:val="Normal"/>
              <w:tabs>
                <w:tab w:val="clear" w:pos="720"/>
                <w:tab w:val="right" w:pos="4475" w:leader="none"/>
              </w:tabs>
              <w:spacing w:before="0" w:after="160"/>
              <w:ind w:start="245" w:end="0"/>
              <w:rPr>
                <w:sz w:val="20"/>
              </w:rPr>
            </w:pPr>
            <w:r>
              <w:rPr>
                <w:sz w:val="20"/>
              </w:rPr>
              <w:t>All Notices:</w:t>
            </w:r>
          </w:p>
        </w:tc>
      </w:tr>
      <w:tr>
        <w:trPr/>
        <w:tc>
          <w:tcPr>
            <w:tcW w:w="4878" w:type="dxa"/>
            <w:tcBorders/>
          </w:tcPr>
          <w:p>
            <w:pPr>
              <w:pStyle w:val="EndnoteText"/>
              <w:rPr/>
            </w:pPr>
            <w:r>
              <w:rPr/>
              <w:t xml:space="preserve">Street:   </w:t>
            </w:r>
          </w:p>
        </w:tc>
        <w:tc>
          <w:tcPr>
            <w:tcW w:w="4712" w:type="dxa"/>
            <w:tcBorders/>
          </w:tcPr>
          <w:p>
            <w:pPr>
              <w:pStyle w:val="Normal"/>
              <w:tabs>
                <w:tab w:val="clear" w:pos="720"/>
                <w:tab w:val="right" w:pos="4475" w:leader="none"/>
              </w:tabs>
              <w:spacing w:before="0" w:after="160"/>
              <w:ind w:start="245" w:end="0"/>
              <w:rPr>
                <w:sz w:val="20"/>
              </w:rPr>
            </w:pPr>
            <w:r>
              <w:rPr>
                <w:sz w:val="20"/>
              </w:rPr>
              <w:t>Street:    Moody Street, P.O. Box 426</w:t>
            </w:r>
          </w:p>
        </w:tc>
      </w:tr>
      <w:tr>
        <w:trPr/>
        <w:tc>
          <w:tcPr>
            <w:tcW w:w="4878" w:type="dxa"/>
            <w:tcBorders/>
          </w:tcPr>
          <w:p>
            <w:pPr>
              <w:pStyle w:val="EndnoteText"/>
              <w:tabs>
                <w:tab w:val="clear" w:pos="720"/>
                <w:tab w:val="left" w:pos="2880" w:leader="none"/>
              </w:tabs>
              <w:rPr/>
            </w:pPr>
            <w:r>
              <w:rPr/>
              <w:t xml:space="preserve">City:      </w:t>
              <w:tab/>
              <w:t xml:space="preserve">Zip: </w:t>
            </w:r>
          </w:p>
        </w:tc>
        <w:tc>
          <w:tcPr>
            <w:tcW w:w="4712" w:type="dxa"/>
            <w:tcBorders/>
          </w:tcPr>
          <w:p>
            <w:pPr>
              <w:pStyle w:val="Normal"/>
              <w:tabs>
                <w:tab w:val="clear" w:pos="720"/>
                <w:tab w:val="left" w:pos="2880" w:leader="none"/>
                <w:tab w:val="right" w:pos="4475" w:leader="none"/>
              </w:tabs>
              <w:spacing w:before="0" w:after="160"/>
              <w:ind w:start="245" w:end="0"/>
              <w:rPr>
                <w:sz w:val="20"/>
              </w:rPr>
            </w:pPr>
            <w:r>
              <w:rPr>
                <w:sz w:val="20"/>
              </w:rPr>
              <w:t>City:       Ludlow, MA</w:t>
              <w:tab/>
              <w:t>Zip: 01056</w:t>
            </w:r>
          </w:p>
        </w:tc>
      </w:tr>
      <w:tr>
        <w:trPr/>
        <w:tc>
          <w:tcPr>
            <w:tcW w:w="4878" w:type="dxa"/>
            <w:tcBorders/>
          </w:tcPr>
          <w:p>
            <w:pPr>
              <w:pStyle w:val="Normal"/>
              <w:tabs>
                <w:tab w:val="clear" w:pos="720"/>
                <w:tab w:val="left" w:pos="2880" w:leader="none"/>
                <w:tab w:val="right" w:pos="4320" w:leader="none"/>
              </w:tabs>
              <w:spacing w:before="0" w:after="160"/>
              <w:rPr>
                <w:sz w:val="20"/>
              </w:rPr>
            </w:pPr>
            <w:r>
              <w:rPr>
                <w:sz w:val="20"/>
              </w:rPr>
              <w:t xml:space="preserve">Attn:         </w:t>
              <w:br/>
              <w:t xml:space="preserve">Phone:      </w:t>
              <w:br/>
              <w:t xml:space="preserve">Facsimile: </w:t>
              <w:br/>
              <w:t xml:space="preserve">Duns:        </w:t>
              <w:br/>
              <w:t xml:space="preserve">Federal Tax ID Number:   </w:t>
            </w:r>
          </w:p>
        </w:tc>
        <w:tc>
          <w:tcPr>
            <w:tcW w:w="4712" w:type="dxa"/>
            <w:tcBorders/>
          </w:tcPr>
          <w:p>
            <w:pPr>
              <w:pStyle w:val="Normal"/>
              <w:tabs>
                <w:tab w:val="clear" w:pos="720"/>
                <w:tab w:val="right" w:pos="4475" w:leader="none"/>
              </w:tabs>
              <w:spacing w:before="0" w:after="200"/>
              <w:ind w:start="245" w:end="0"/>
              <w:rPr>
                <w:sz w:val="20"/>
              </w:rPr>
            </w:pPr>
            <w:r>
              <w:rPr>
                <w:sz w:val="20"/>
              </w:rPr>
              <w:t>Attn:         Director, Power Services Division</w:t>
              <w:br/>
              <w:t>Phone:      (413) 589-0141</w:t>
              <w:br/>
              <w:t>Facsimile: (413) 589-1585</w:t>
              <w:br/>
              <w:t>Duns:        071724900</w:t>
              <w:br/>
              <w:t>Federal Tax ID Number:   042-528-837</w:t>
            </w:r>
          </w:p>
        </w:tc>
      </w:tr>
      <w:tr>
        <w:trPr/>
        <w:tc>
          <w:tcPr>
            <w:tcW w:w="4878" w:type="dxa"/>
            <w:tcBorders/>
          </w:tcPr>
          <w:p>
            <w:pPr>
              <w:pStyle w:val="Normal"/>
              <w:tabs>
                <w:tab w:val="clear" w:pos="720"/>
                <w:tab w:val="right" w:pos="4320" w:leader="none"/>
              </w:tabs>
              <w:spacing w:before="0" w:after="200"/>
              <w:ind w:hanging="270" w:start="270" w:end="0"/>
              <w:rPr/>
            </w:pPr>
            <w:r>
              <w:rPr>
                <w:b/>
                <w:sz w:val="20"/>
              </w:rPr>
              <w:t>Invoices:</w:t>
            </w:r>
            <w:r>
              <w:rPr>
                <w:sz w:val="20"/>
              </w:rPr>
              <w:br/>
              <w:t xml:space="preserve">Attn:         </w:t>
              <w:br/>
              <w:t xml:space="preserve">Phone:      </w:t>
              <w:br/>
              <w:t xml:space="preserve">Facsimile: </w:t>
            </w:r>
          </w:p>
        </w:tc>
        <w:tc>
          <w:tcPr>
            <w:tcW w:w="4712" w:type="dxa"/>
            <w:tcBorders/>
          </w:tcPr>
          <w:p>
            <w:pPr>
              <w:pStyle w:val="Normal"/>
              <w:tabs>
                <w:tab w:val="clear" w:pos="720"/>
                <w:tab w:val="right" w:pos="4475" w:leader="none"/>
              </w:tabs>
              <w:spacing w:before="0" w:after="200"/>
              <w:ind w:hanging="288" w:start="533" w:end="0"/>
              <w:rPr/>
            </w:pPr>
            <w:r>
              <w:rPr>
                <w:b/>
                <w:sz w:val="20"/>
              </w:rPr>
              <w:t>Invoices:</w:t>
            </w:r>
            <w:r>
              <w:rPr>
                <w:sz w:val="20"/>
              </w:rPr>
              <w:br/>
              <w:t>Attn:         Accounting, Ron Kusek</w:t>
              <w:br/>
              <w:t>Phone:      (413) 589-0141</w:t>
              <w:br/>
              <w:t>Facsimile: (413) 589-1585</w:t>
            </w:r>
          </w:p>
        </w:tc>
      </w:tr>
      <w:tr>
        <w:trPr/>
        <w:tc>
          <w:tcPr>
            <w:tcW w:w="4878" w:type="dxa"/>
            <w:tcBorders/>
          </w:tcPr>
          <w:p>
            <w:pPr>
              <w:pStyle w:val="Normal"/>
              <w:tabs>
                <w:tab w:val="clear" w:pos="720"/>
                <w:tab w:val="right" w:pos="4320" w:leader="none"/>
              </w:tabs>
              <w:spacing w:before="0" w:after="200"/>
              <w:ind w:hanging="288" w:start="288" w:end="0"/>
              <w:rPr/>
            </w:pPr>
            <w:r>
              <w:rPr>
                <w:b/>
                <w:sz w:val="20"/>
              </w:rPr>
              <w:t>Scheduling:</w:t>
            </w:r>
            <w:r>
              <w:rPr>
                <w:sz w:val="20"/>
              </w:rPr>
              <w:br/>
              <w:t xml:space="preserve">Attn:         </w:t>
              <w:br/>
              <w:t xml:space="preserve">Phone:      </w:t>
              <w:br/>
              <w:t xml:space="preserve">Facsimile: </w:t>
            </w:r>
          </w:p>
        </w:tc>
        <w:tc>
          <w:tcPr>
            <w:tcW w:w="4712" w:type="dxa"/>
            <w:tcBorders/>
          </w:tcPr>
          <w:p>
            <w:pPr>
              <w:pStyle w:val="Normal"/>
              <w:tabs>
                <w:tab w:val="clear" w:pos="720"/>
                <w:tab w:val="right" w:pos="4475" w:leader="none"/>
              </w:tabs>
              <w:spacing w:before="0" w:after="200"/>
              <w:ind w:hanging="288" w:start="533" w:end="0"/>
              <w:rPr/>
            </w:pPr>
            <w:r>
              <w:rPr>
                <w:b/>
                <w:sz w:val="20"/>
              </w:rPr>
              <w:t>Scheduling:</w:t>
            </w:r>
            <w:r>
              <w:rPr>
                <w:sz w:val="20"/>
              </w:rPr>
              <w:br/>
              <w:t>Attn:         Director, Power Services Division</w:t>
              <w:br/>
              <w:t>Phone:      (413) 589-0141</w:t>
              <w:br/>
              <w:t>Facsimile: (413) 589-1585</w:t>
            </w:r>
          </w:p>
        </w:tc>
      </w:tr>
      <w:tr>
        <w:trPr/>
        <w:tc>
          <w:tcPr>
            <w:tcW w:w="4878" w:type="dxa"/>
            <w:tcBorders/>
          </w:tcPr>
          <w:p>
            <w:pPr>
              <w:pStyle w:val="Normal"/>
              <w:tabs>
                <w:tab w:val="clear" w:pos="720"/>
                <w:tab w:val="right" w:pos="4320" w:leader="none"/>
              </w:tabs>
              <w:spacing w:before="0" w:after="200"/>
              <w:ind w:hanging="288" w:start="288" w:end="0"/>
              <w:rPr/>
            </w:pPr>
            <w:r>
              <w:rPr>
                <w:b/>
                <w:sz w:val="20"/>
              </w:rPr>
              <w:t>Payments:</w:t>
            </w:r>
            <w:r>
              <w:rPr>
                <w:sz w:val="20"/>
              </w:rPr>
              <w:br/>
              <w:t xml:space="preserve">Attn:         </w:t>
              <w:br/>
              <w:t xml:space="preserve">Phone:      </w:t>
              <w:br/>
              <w:t xml:space="preserve">Facsimile: </w:t>
            </w:r>
          </w:p>
        </w:tc>
        <w:tc>
          <w:tcPr>
            <w:tcW w:w="4712" w:type="dxa"/>
            <w:tcBorders/>
          </w:tcPr>
          <w:p>
            <w:pPr>
              <w:pStyle w:val="Normal"/>
              <w:tabs>
                <w:tab w:val="clear" w:pos="720"/>
                <w:tab w:val="right" w:pos="4475" w:leader="none"/>
              </w:tabs>
              <w:spacing w:before="0" w:after="200"/>
              <w:ind w:hanging="288" w:start="533" w:end="0"/>
              <w:rPr/>
            </w:pPr>
            <w:r>
              <w:rPr>
                <w:b/>
                <w:sz w:val="20"/>
              </w:rPr>
              <w:t xml:space="preserve">Payments: </w:t>
            </w:r>
            <w:r>
              <w:rPr>
                <w:sz w:val="20"/>
              </w:rPr>
              <w:br/>
              <w:t>Attn:        Accounting, Ron Kusek</w:t>
              <w:br/>
              <w:t>Phone: :    (413) 589-0141</w:t>
              <w:br/>
              <w:t>Facsimile: (413) 589-1585</w:t>
            </w:r>
          </w:p>
        </w:tc>
      </w:tr>
      <w:tr>
        <w:trPr/>
        <w:tc>
          <w:tcPr>
            <w:tcW w:w="4878" w:type="dxa"/>
            <w:tcBorders/>
          </w:tcPr>
          <w:p>
            <w:pPr>
              <w:pStyle w:val="Normal"/>
              <w:tabs>
                <w:tab w:val="clear" w:pos="720"/>
                <w:tab w:val="right" w:pos="4320" w:leader="none"/>
              </w:tabs>
              <w:spacing w:before="0" w:after="200"/>
              <w:ind w:hanging="288" w:start="288" w:end="0"/>
              <w:rPr/>
            </w:pPr>
            <w:r>
              <w:rPr>
                <w:b/>
                <w:sz w:val="20"/>
              </w:rPr>
              <w:t>Wire Transfer:</w:t>
            </w:r>
            <w:r>
              <w:rPr>
                <w:sz w:val="20"/>
              </w:rPr>
              <w:br/>
              <w:t xml:space="preserve">BNK:   </w:t>
              <w:br/>
              <w:t xml:space="preserve">ABA:   </w:t>
              <w:br/>
              <w:t xml:space="preserve">ACCT: </w:t>
            </w:r>
          </w:p>
        </w:tc>
        <w:tc>
          <w:tcPr>
            <w:tcW w:w="4712" w:type="dxa"/>
            <w:tcBorders/>
          </w:tcPr>
          <w:p>
            <w:pPr>
              <w:pStyle w:val="Normal"/>
              <w:tabs>
                <w:tab w:val="clear" w:pos="720"/>
                <w:tab w:val="right" w:pos="4475" w:leader="none"/>
              </w:tabs>
              <w:spacing w:before="0" w:after="200"/>
              <w:ind w:hanging="288" w:start="533" w:end="0"/>
              <w:rPr/>
            </w:pPr>
            <w:r>
              <w:rPr>
                <w:b/>
                <w:sz w:val="20"/>
              </w:rPr>
              <w:t>Wire Transfer:</w:t>
            </w:r>
            <w:r>
              <w:rPr>
                <w:sz w:val="20"/>
              </w:rPr>
              <w:br/>
              <w:t>BNK:   Fleet Bank</w:t>
              <w:br/>
              <w:t>ABA:   011000138</w:t>
              <w:br/>
              <w:t>ACCT: 0075169307</w:t>
            </w:r>
          </w:p>
        </w:tc>
      </w:tr>
      <w:tr>
        <w:trPr/>
        <w:tc>
          <w:tcPr>
            <w:tcW w:w="4878" w:type="dxa"/>
            <w:tcBorders/>
          </w:tcPr>
          <w:p>
            <w:pPr>
              <w:pStyle w:val="Normal"/>
              <w:tabs>
                <w:tab w:val="clear" w:pos="720"/>
                <w:tab w:val="right" w:pos="4320" w:leader="none"/>
              </w:tabs>
              <w:spacing w:before="0" w:after="200"/>
              <w:ind w:hanging="288" w:start="288" w:end="0"/>
              <w:rPr/>
            </w:pPr>
            <w:r>
              <w:rPr>
                <w:b/>
                <w:sz w:val="20"/>
              </w:rPr>
              <w:t>Credit and Collections:</w:t>
            </w:r>
            <w:r>
              <w:rPr>
                <w:sz w:val="20"/>
              </w:rPr>
              <w:br/>
              <w:t xml:space="preserve">Attn:         </w:t>
              <w:br/>
              <w:t xml:space="preserve">Phone:      </w:t>
              <w:br/>
              <w:t xml:space="preserve">Facsimile: </w:t>
            </w:r>
          </w:p>
        </w:tc>
        <w:tc>
          <w:tcPr>
            <w:tcW w:w="4712" w:type="dxa"/>
            <w:tcBorders/>
          </w:tcPr>
          <w:p>
            <w:pPr>
              <w:pStyle w:val="Normal"/>
              <w:tabs>
                <w:tab w:val="clear" w:pos="720"/>
                <w:tab w:val="right" w:pos="4475" w:leader="none"/>
              </w:tabs>
              <w:spacing w:before="0" w:after="200"/>
              <w:ind w:hanging="288" w:start="533" w:end="0"/>
              <w:rPr/>
            </w:pPr>
            <w:r>
              <w:rPr>
                <w:b/>
                <w:sz w:val="20"/>
              </w:rPr>
              <w:t>Credit and Collections:</w:t>
            </w:r>
            <w:r>
              <w:rPr>
                <w:sz w:val="20"/>
              </w:rPr>
              <w:br/>
              <w:t>Attn:         Accounting, Ron Kusek</w:t>
              <w:br/>
              <w:t>Phone:      (413) 589-0141</w:t>
              <w:br/>
              <w:t>Facsimile: (413) 589-1585</w:t>
            </w:r>
          </w:p>
        </w:tc>
      </w:tr>
      <w:tr>
        <w:trPr/>
        <w:tc>
          <w:tcPr>
            <w:tcW w:w="4878" w:type="dxa"/>
            <w:tcBorders/>
          </w:tcPr>
          <w:p>
            <w:pPr>
              <w:pStyle w:val="Normal"/>
              <w:tabs>
                <w:tab w:val="clear" w:pos="720"/>
                <w:tab w:val="right" w:pos="4475" w:leader="none"/>
              </w:tabs>
              <w:ind w:start="245" w:end="0"/>
              <w:rPr>
                <w:sz w:val="20"/>
              </w:rPr>
            </w:pPr>
            <w:r>
              <w:rPr>
                <w:sz w:val="20"/>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br/>
              <w:t xml:space="preserve">Phone:      </w:t>
              <w:br/>
              <w:t xml:space="preserve">Facsimile: </w:t>
              <w:br/>
            </w:r>
          </w:p>
        </w:tc>
        <w:tc>
          <w:tcPr>
            <w:tcW w:w="4712" w:type="dxa"/>
            <w:tcBorders/>
          </w:tcPr>
          <w:p>
            <w:pPr>
              <w:pStyle w:val="Normal"/>
              <w:tabs>
                <w:tab w:val="clear" w:pos="720"/>
                <w:tab w:val="right" w:pos="4475" w:leader="none"/>
              </w:tabs>
              <w:ind w:start="245" w:end="0"/>
              <w:rPr>
                <w:sz w:val="20"/>
              </w:rPr>
            </w:pPr>
            <w:r>
              <w:rPr>
                <w:sz w:val="20"/>
              </w:rPr>
              <w:t>With additional Notices of an Event of Default or Potential Event of Default to:</w:t>
            </w:r>
          </w:p>
          <w:p>
            <w:pPr>
              <w:pStyle w:val="Normal"/>
              <w:tabs>
                <w:tab w:val="clear" w:pos="720"/>
                <w:tab w:val="right" w:pos="4475" w:leader="none"/>
              </w:tabs>
              <w:ind w:start="533" w:end="0"/>
              <w:rPr>
                <w:sz w:val="20"/>
              </w:rPr>
            </w:pPr>
            <w:r>
              <w:rPr>
                <w:sz w:val="20"/>
              </w:rPr>
              <w:t>Attn:         Director, Power Services Division</w:t>
              <w:br/>
              <w:t>Phone:      (413) 589-0141</w:t>
              <w:br/>
              <w:t>Facsimile: (413) 589-1585</w:t>
            </w:r>
          </w:p>
        </w:tc>
      </w:tr>
    </w:tbl>
    <w:p>
      <w:pPr>
        <w:pStyle w:val="Normal"/>
        <w:rPr>
          <w:sz w:val="16"/>
        </w:rPr>
      </w:pPr>
      <w:r>
        <w:rPr>
          <w:sz w:val="16"/>
        </w:rPr>
      </w:r>
      <w:r>
        <w:br w:type="page"/>
      </w:r>
    </w:p>
    <w:p>
      <w:pPr>
        <w:pStyle w:val="Normal"/>
        <w:rPr>
          <w:sz w:val="20"/>
        </w:rPr>
      </w:pPr>
      <w:r>
        <w:rPr>
          <w:sz w:val="20"/>
        </w:rPr>
      </w:r>
    </w:p>
    <w:p>
      <w:pPr>
        <w:pStyle w:val="Normal"/>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A Tariff</w:t>
        <w:tab/>
        <w:t xml:space="preserve">Tariff </w:t>
      </w:r>
      <w:r>
        <w:rPr>
          <w:u w:val="single"/>
        </w:rPr>
        <w:tab/>
      </w:r>
      <w:r>
        <w:rPr/>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9576" w:type="dxa"/>
        <w:jc w:val="start"/>
        <w:tblInd w:w="0" w:type="dxa"/>
        <w:tblLayout w:type="fixed"/>
        <w:tblCellMar>
          <w:top w:w="0" w:type="dxa"/>
          <w:start w:w="108" w:type="dxa"/>
          <w:bottom w:w="0" w:type="dxa"/>
          <w:end w:w="108" w:type="dxa"/>
        </w:tblCellMar>
      </w:tblPr>
      <w:tblGrid>
        <w:gridCol w:w="3348"/>
        <w:gridCol w:w="3150"/>
        <w:gridCol w:w="3060"/>
        <w:gridCol w:w="18"/>
      </w:tblGrid>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Transaction Terms and Conditions</w:t>
            </w:r>
          </w:p>
        </w:tc>
        <w:tc>
          <w:tcPr>
            <w:tcW w:w="6228" w:type="dxa"/>
            <w:gridSpan w:val="2"/>
            <w:tcBorders/>
          </w:tcPr>
          <w:p>
            <w:pPr>
              <w:pStyle w:val="Normal"/>
              <w:spacing w:before="0" w:after="200"/>
              <w:rPr>
                <w:sz w:val="20"/>
              </w:rPr>
            </w:pPr>
            <w:r>
              <w:rPr>
                <w:sz w:val="20"/>
              </w:rPr>
              <w:t>[X]  Optional provision in Section 2.4.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u w:val="single"/>
              </w:rPr>
            </w:pPr>
            <w:r>
              <w:rPr>
                <w:sz w:val="20"/>
              </w:rPr>
              <w:t xml:space="preserve">Remedies for Failure </w:t>
              <w:br/>
              <w:t>to Deliver or Receive</w:t>
            </w:r>
          </w:p>
        </w:tc>
        <w:tc>
          <w:tcPr>
            <w:tcW w:w="6228" w:type="dxa"/>
            <w:gridSpan w:val="2"/>
            <w:tcBorders/>
          </w:tcPr>
          <w:p>
            <w:pPr>
              <w:pStyle w:val="Normal"/>
              <w:spacing w:before="0" w:after="200"/>
              <w:rPr>
                <w:sz w:val="20"/>
              </w:rPr>
            </w:pPr>
            <w:r>
              <w:rPr>
                <w:sz w:val="20"/>
              </w:rPr>
              <w:t>[]  Accelerated Payment of Damages.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228" w:type="dxa"/>
            <w:gridSpan w:val="2"/>
            <w:tcBorders>
              <w:top w:val="single" w:sz="6" w:space="0" w:color="000000"/>
            </w:tcBorders>
          </w:tcPr>
          <w:p>
            <w:pPr>
              <w:pStyle w:val="Normal"/>
              <w:spacing w:before="120" w:after="120"/>
              <w:rPr>
                <w:sz w:val="20"/>
              </w:rPr>
            </w:pPr>
            <w:r>
              <w:rPr>
                <w:sz w:val="20"/>
              </w:rPr>
              <w:t>[]  Cross Default for Party A:</w:t>
            </w:r>
          </w:p>
        </w:tc>
      </w:tr>
      <w:tr>
        <w:trPr/>
        <w:tc>
          <w:tcPr>
            <w:tcW w:w="3348" w:type="dxa"/>
            <w:tcBorders/>
          </w:tcPr>
          <w:p>
            <w:pPr>
              <w:pStyle w:val="Normal"/>
              <w:spacing w:before="0" w:after="200"/>
              <w:rPr>
                <w:sz w:val="20"/>
                <w:u w:val="single"/>
              </w:rPr>
            </w:pPr>
            <w:r>
              <w:rPr>
                <w:sz w:val="20"/>
              </w:rPr>
              <w:t>Events of Default; Remedies</w:t>
            </w:r>
          </w:p>
        </w:tc>
        <w:tc>
          <w:tcPr>
            <w:tcW w:w="3150" w:type="dxa"/>
            <w:tcBorders/>
          </w:tcPr>
          <w:p>
            <w:pPr>
              <w:pStyle w:val="Normal"/>
              <w:tabs>
                <w:tab w:val="clear" w:pos="720"/>
                <w:tab w:val="right" w:pos="2673" w:leader="none"/>
              </w:tabs>
              <w:spacing w:before="0" w:after="200"/>
              <w:rPr>
                <w:sz w:val="20"/>
              </w:rPr>
            </w:pPr>
            <w:r>
              <w:rPr>
                <w:sz w:val="20"/>
              </w:rPr>
              <w:t>[]  Party A:</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Cross Default for Party B:</w:t>
            </w:r>
          </w:p>
        </w:tc>
        <w:tc>
          <w:tcPr>
            <w:tcW w:w="3060" w:type="dxa"/>
            <w:tcBorders/>
          </w:tcPr>
          <w:p>
            <w:pPr>
              <w:pStyle w:val="Normal"/>
              <w:tabs>
                <w:tab w:val="clear" w:pos="720"/>
                <w:tab w:val="right" w:pos="2844" w:leader="none"/>
              </w:tabs>
              <w:snapToGrid w:val="false"/>
              <w:spacing w:before="0" w:after="200"/>
              <w:rPr>
                <w:sz w:val="20"/>
              </w:rPr>
            </w:pPr>
            <w:r>
              <w:rPr>
                <w:sz w:val="20"/>
              </w:rPr>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Party B:</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sz w:val="20"/>
              </w:rPr>
              <w:t>[]  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5.6</w:t>
            </w:r>
            <w:r>
              <w:rPr>
                <w:sz w:val="20"/>
              </w:rPr>
              <w:t xml:space="preserve">  Closeout Setoff</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tab/>
              <w:t>Option A (Applicable if no other selection is made.)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sz w:val="20"/>
              </w:rPr>
              <w:t>[]</w:t>
              <w:tab/>
              <w:t>Option B - Affiliates shall have the meaning set forth in the Agreement unless otherwise specified as follows:</w:t>
            </w:r>
            <w:r>
              <w:rPr>
                <w:sz w:val="20"/>
                <w:u w:val="single"/>
              </w:rPr>
              <w:tab/>
            </w:r>
            <w:r>
              <w:rPr>
                <w:sz w:val="20"/>
              </w:rPr>
              <w:br/>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[X]</w:t>
              <w:tab/>
              <w:t>Option C (No Setoff)</w:t>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228" w:type="dxa"/>
            <w:gridSpan w:val="2"/>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348" w:type="dxa"/>
            <w:tcBorders/>
          </w:tcPr>
          <w:p>
            <w:pPr>
              <w:pStyle w:val="Normal"/>
              <w:spacing w:before="0" w:after="120"/>
              <w:rPr>
                <w:sz w:val="20"/>
                <w:u w:val="single"/>
              </w:rPr>
            </w:pPr>
            <w:r>
              <w:rPr>
                <w:sz w:val="20"/>
              </w:rPr>
              <w:t>Credit and Collateral Requirements</w:t>
            </w:r>
          </w:p>
        </w:tc>
        <w:tc>
          <w:tcPr>
            <w:tcW w:w="6228"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sz w:val="20"/>
              </w:rPr>
              <w:t>[]</w:t>
              <w:tab/>
              <w:t>Option A</w:t>
              <w:br/>
              <w:t>[]</w:t>
              <w:tab/>
              <w:t xml:space="preserve">Option B   Specify: </w:t>
            </w:r>
            <w:r>
              <w:rPr>
                <w:sz w:val="20"/>
                <w:u w:val="single"/>
              </w:rPr>
              <w:tab/>
            </w:r>
            <w:r>
              <w:rPr>
                <w:sz w:val="20"/>
              </w:rPr>
              <w:br/>
              <w:t>[X]</w:t>
              <w:tab/>
              <w:t>Option C   Specify: Books and records reasonably necessary to verify invoices and payments.</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tab/>
              <w:t>Not Applicable</w:t>
              <w:br/>
              <w:t>[X]</w:t>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[X]  Not Applicable</w:t>
              <w:br/>
              <w:t>[]</w:t>
              <w:tab/>
              <w:t>Applicable</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3114"/>
        <w:gridCol w:w="3114"/>
      </w:tblGrid>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3852" w:leader="none"/>
              </w:tabs>
              <w:spacing w:before="0" w:after="200"/>
              <w:rPr>
                <w:sz w:val="20"/>
              </w:rPr>
            </w:pPr>
            <w:r>
              <w:rPr>
                <w:sz w:val="20"/>
              </w:rPr>
              <w:t>Party B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3852" w:leader="none"/>
              </w:tabs>
              <w:spacing w:before="0" w:after="200"/>
              <w:rPr>
                <w:sz w:val="20"/>
              </w:rPr>
            </w:pPr>
            <w:r>
              <w:rPr>
                <w:sz w:val="20"/>
              </w:rPr>
              <w:t>Party B Rounding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702" w:leader="none"/>
              </w:tabs>
              <w:spacing w:before="0" w:after="200"/>
              <w:ind w:start="360" w:end="0"/>
              <w:rPr>
                <w:sz w:val="20"/>
              </w:rPr>
            </w:pPr>
            <w:r>
              <w:rPr>
                <w:sz w:val="20"/>
              </w:rPr>
              <w:t>[X]</w:t>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tab/>
              <w:t xml:space="preserve">It shall be a Downgrade Event for Party B if Party B’s Credit Rating falls below __________ from S&amp;P or  __________ from Moody’s or if  Party B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sz w:val="20"/>
              </w:rPr>
              <w:t>[]</w:t>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B:</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cPr>
          <w:p>
            <w:pPr>
              <w:pStyle w:val="Normal"/>
              <w:snapToGrid w:val="false"/>
              <w:spacing w:before="0" w:after="200"/>
              <w:rPr>
                <w:rStyle w:val="ParaNum"/>
                <w:sz w:val="20"/>
                <w:u w:val="single"/>
              </w:rPr>
            </w:pPr>
            <w:r>
              <w:rPr/>
            </w:r>
          </w:p>
        </w:tc>
        <w:tc>
          <w:tcPr>
            <w:tcW w:w="6228" w:type="dxa"/>
            <w:gridSpan w:val="2"/>
            <w:tcBorders/>
          </w:tcPr>
          <w:p>
            <w:pPr>
              <w:pStyle w:val="Normal"/>
              <w:spacing w:before="0" w:after="200"/>
              <w:rPr/>
            </w:pPr>
            <w:r>
              <w:rPr>
                <w:sz w:val="20"/>
              </w:rPr>
              <w:t xml:space="preserve">8.2  </w:t>
            </w:r>
            <w:r>
              <w:rPr>
                <w:sz w:val="20"/>
                <w:u w:val="single"/>
              </w:rPr>
              <w:t>Party B Credit Protection</w:t>
            </w:r>
            <w:r>
              <w:rPr>
                <w:sz w:val="20"/>
              </w:rPr>
              <w:t>:</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sz w:val="20"/>
              </w:rPr>
              <w:t>[]</w:t>
              <w:tab/>
              <w:t>Option A</w:t>
              <w:br/>
              <w:t>[]</w:t>
              <w:tab/>
              <w:t xml:space="preserve">Option B   Specify: </w:t>
            </w:r>
            <w:r>
              <w:rPr>
                <w:sz w:val="20"/>
                <w:u w:val="single"/>
              </w:rPr>
              <w:tab/>
            </w:r>
            <w:r>
              <w:rPr>
                <w:sz w:val="20"/>
              </w:rPr>
              <w:br/>
              <w:t>[X]</w:t>
              <w:tab/>
              <w:t>Option C   Specify: Books and records reasonably necessary to verify invoices and payments.</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w:t>
              <w:tab/>
              <w:t>Not Applicable</w:t>
              <w:br/>
              <w:t>[X]</w:t>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sz w:val="20"/>
              </w:rPr>
              <w:t>[X]</w:t>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3852" w:leader="none"/>
              </w:tabs>
              <w:spacing w:before="0" w:after="200"/>
              <w:rPr>
                <w:sz w:val="20"/>
              </w:rPr>
            </w:pPr>
            <w:r>
              <w:rPr>
                <w:sz w:val="20"/>
              </w:rPr>
              <w:t>Party A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3852" w:leader="none"/>
              </w:tabs>
              <w:spacing w:before="0" w:after="200"/>
              <w:rPr>
                <w:sz w:val="20"/>
              </w:rPr>
            </w:pPr>
            <w:r>
              <w:rPr>
                <w:sz w:val="20"/>
              </w:rPr>
              <w:t>Party A Rounding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702" w:leader="none"/>
              </w:tabs>
              <w:spacing w:before="0" w:after="200"/>
              <w:ind w:start="360" w:end="0"/>
              <w:rPr>
                <w:sz w:val="20"/>
              </w:rPr>
            </w:pPr>
            <w:r>
              <w:rPr>
                <w:sz w:val="20"/>
              </w:rPr>
              <w:t>[X]</w:t>
              <w:tab/>
              <w:t>Not Applicable</w:t>
              <w:br/>
              <w:t>[]</w:t>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sz w:val="20"/>
              </w:rPr>
            </w:pPr>
            <w:r>
              <w:rPr>
                <w:sz w:val="20"/>
              </w:rPr>
              <w:t>[]</w:t>
              <w:tab/>
              <w:t xml:space="preserve">It shall be a Downgrade Event for Party A if Party A’s Credit Rating falls below __________ from S&amp;P or  __________ from Moody’s or if  Party A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sz w:val="20"/>
              </w:rPr>
              <w:t>[]</w:t>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A:</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Confidentiality</w:t>
            </w:r>
          </w:p>
        </w:tc>
        <w:tc>
          <w:tcPr>
            <w:tcW w:w="3114" w:type="dxa"/>
            <w:tcBorders/>
          </w:tcPr>
          <w:p>
            <w:pPr>
              <w:pStyle w:val="Normal"/>
              <w:tabs>
                <w:tab w:val="clear" w:pos="720"/>
                <w:tab w:val="left" w:pos="252" w:leader="none"/>
              </w:tabs>
              <w:spacing w:before="0" w:after="200"/>
              <w:rPr>
                <w:sz w:val="20"/>
              </w:rPr>
            </w:pPr>
            <w:r>
              <w:rPr>
                <w:sz w:val="20"/>
              </w:rPr>
              <w:t>[]  Confidentiality Applicable</w:t>
            </w:r>
          </w:p>
        </w:tc>
        <w:tc>
          <w:tcPr>
            <w:tcW w:w="3114" w:type="dxa"/>
            <w:tcBorders/>
          </w:tcPr>
          <w:p>
            <w:pPr>
              <w:pStyle w:val="Normal"/>
              <w:spacing w:before="0" w:after="200"/>
              <w:rPr>
                <w:sz w:val="20"/>
              </w:rPr>
            </w:pPr>
            <w:r>
              <w:rPr>
                <w:sz w:val="20"/>
              </w:rPr>
              <w:t>If not checked, inapplicable.</w:t>
            </w:r>
          </w:p>
        </w:tc>
      </w:tr>
      <w:tr>
        <w:trPr/>
        <w:tc>
          <w:tcPr>
            <w:tcW w:w="3348" w:type="dxa"/>
            <w:tcBorders>
              <w:top w:val="single" w:sz="4" w:space="0" w:color="000000"/>
            </w:tcBorders>
          </w:tcPr>
          <w:p>
            <w:pPr>
              <w:pStyle w:val="Normal"/>
              <w:rPr>
                <w:b/>
                <w:sz w:val="20"/>
                <w:u w:val="single"/>
              </w:rPr>
            </w:pPr>
            <w:r>
              <w:rPr>
                <w:b/>
                <w:sz w:val="20"/>
                <w:u w:val="single"/>
              </w:rPr>
              <w:t>Schedule M</w:t>
            </w:r>
          </w:p>
        </w:tc>
        <w:tc>
          <w:tcPr>
            <w:tcW w:w="6228" w:type="dxa"/>
            <w:gridSpan w:val="2"/>
            <w:tcBorders>
              <w:top w:val="single" w:sz="4" w:space="0" w:color="000000"/>
            </w:tcBorders>
          </w:tcPr>
          <w:p>
            <w:pPr>
              <w:pStyle w:val="Normal"/>
              <w:snapToGrid w:val="false"/>
              <w:rPr>
                <w:b/>
                <w:sz w:val="20"/>
                <w:u w:val="single"/>
              </w:rPr>
            </w:pPr>
            <w:r>
              <w:rPr>
                <w:b/>
                <w:sz w:val="20"/>
                <w:u w:val="single"/>
              </w:rPr>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  Party A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[X]  Party B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sz w:val="20"/>
              </w:rPr>
            </w:pPr>
            <w:r>
              <w:rPr>
                <w:sz w:val="20"/>
              </w:rPr>
              <w:t>[]  Add Section 3.6.  If not checked, inapplicable</w:t>
            </w:r>
          </w:p>
        </w:tc>
      </w:tr>
      <w:tr>
        <w:trPr/>
        <w:tc>
          <w:tcPr>
            <w:tcW w:w="3348" w:type="dxa"/>
            <w:tcBorders/>
          </w:tcPr>
          <w:p>
            <w:pPr>
              <w:pStyle w:val="Normal"/>
              <w:snapToGrid w:val="false"/>
              <w:spacing w:before="0" w:after="200"/>
              <w:rPr>
                <w:sz w:val="20"/>
              </w:rPr>
            </w:pPr>
            <w:r>
              <w:rPr>
                <w:sz w:val="20"/>
              </w:rPr>
            </w:r>
          </w:p>
        </w:tc>
        <w:tc>
          <w:tcPr>
            <w:tcW w:w="6228" w:type="dxa"/>
            <w:gridSpan w:val="2"/>
            <w:tcBorders/>
          </w:tcPr>
          <w:p>
            <w:pPr>
              <w:pStyle w:val="Normal"/>
              <w:rPr>
                <w:sz w:val="20"/>
              </w:rPr>
            </w:pPr>
            <w:r>
              <w:rPr>
                <w:sz w:val="20"/>
              </w:rPr>
              <w:t>[]  Add Section 8.6.  If not checked, inapplicable</w:t>
            </w:r>
          </w:p>
        </w:tc>
      </w:tr>
      <w:tr>
        <w:trPr/>
        <w:tc>
          <w:tcPr>
            <w:tcW w:w="3348" w:type="dxa"/>
            <w:tcBorders/>
          </w:tcPr>
          <w:p>
            <w:pPr>
              <w:pStyle w:val="Normal"/>
              <w:tabs>
                <w:tab w:val="clear" w:pos="720"/>
                <w:tab w:val="right" w:pos="3060" w:leader="none"/>
              </w:tabs>
              <w:spacing w:before="0" w:after="200"/>
              <w:rPr>
                <w:sz w:val="20"/>
              </w:rPr>
            </w:pPr>
            <w:r>
              <w:rPr>
                <w:b/>
                <w:sz w:val="20"/>
                <w:u w:val="single"/>
              </w:rPr>
              <w:t>Other Changes</w:t>
            </w:r>
          </w:p>
        </w:tc>
        <w:tc>
          <w:tcPr>
            <w:tcW w:w="6228" w:type="dxa"/>
            <w:gridSpan w:val="2"/>
            <w:tcBorders/>
          </w:tcPr>
          <w:p>
            <w:pPr>
              <w:pStyle w:val="Normal"/>
              <w:tabs>
                <w:tab w:val="clear" w:pos="720"/>
                <w:tab w:val="right" w:pos="6012" w:leader="none"/>
              </w:tabs>
              <w:spacing w:before="0" w:after="200"/>
              <w:rPr>
                <w:sz w:val="20"/>
              </w:rPr>
            </w:pPr>
            <w:r>
              <w:rPr>
                <w:sz w:val="20"/>
              </w:rPr>
              <w:t>Specify, if any: See below.</w:t>
            </w:r>
            <w:r>
              <w:rPr>
                <w:sz w:val="20"/>
                <w:u w:val="single"/>
              </w:rPr>
              <w:tab/>
            </w:r>
          </w:p>
        </w:tc>
      </w:tr>
      <w:tr>
        <w:trPr/>
        <w:tc>
          <w:tcPr>
            <w:tcW w:w="3348" w:type="dxa"/>
            <w:tcBorders/>
          </w:tcPr>
          <w:p>
            <w:pPr>
              <w:pStyle w:val="Normal"/>
              <w:tabs>
                <w:tab w:val="clear" w:pos="720"/>
                <w:tab w:val="right" w:pos="3060" w:leader="none"/>
              </w:tabs>
              <w:snapToGrid w:val="false"/>
              <w:spacing w:before="0" w:after="200"/>
              <w:rPr>
                <w:sz w:val="20"/>
              </w:rPr>
            </w:pPr>
            <w:r>
              <w:rPr>
                <w:sz w:val="20"/>
              </w:rPr>
            </w:r>
          </w:p>
        </w:tc>
        <w:tc>
          <w:tcPr>
            <w:tcW w:w="6228" w:type="dxa"/>
            <w:gridSpan w:val="2"/>
            <w:tcBorders/>
          </w:tcPr>
          <w:p>
            <w:pPr>
              <w:pStyle w:val="Normal"/>
              <w:tabs>
                <w:tab w:val="clear" w:pos="720"/>
                <w:tab w:val="right" w:pos="6012" w:leader="none"/>
              </w:tabs>
              <w:spacing w:before="0" w:after="200"/>
              <w:rPr/>
            </w:pPr>
            <w:r>
              <w:rPr>
                <w:sz w:val="20"/>
              </w:rPr>
              <w:t xml:space="preserve">2.1  </w:t>
            </w:r>
            <w:r>
              <w:rPr>
                <w:sz w:val="20"/>
                <w:u w:val="single"/>
              </w:rPr>
              <w:t>Transactions</w:t>
            </w:r>
          </w:p>
          <w:p>
            <w:pPr>
              <w:pStyle w:val="Normal"/>
              <w:tabs>
                <w:tab w:val="clear" w:pos="720"/>
                <w:tab w:val="right" w:pos="6012" w:leader="none"/>
              </w:tabs>
              <w:spacing w:before="0" w:after="200"/>
              <w:rPr>
                <w:sz w:val="20"/>
              </w:rPr>
            </w:pPr>
            <w:r>
              <w:rPr>
                <w:sz w:val="20"/>
              </w:rPr>
              <w:t>Add to Section 2.1: “The Parties agree that all Transactions shall be confirmed in writing, including electronic means of communication, in accordance with Section 2.3.  Transactions for periods of more than six months duration shall not be entered into unless executed by MMWEC’s General Manager, with the authorization of MMWEC’s Board of Directors.”</w:t>
            </w:r>
          </w:p>
          <w:p>
            <w:pPr>
              <w:pStyle w:val="Normal"/>
              <w:tabs>
                <w:tab w:val="clear" w:pos="720"/>
                <w:tab w:val="right" w:pos="6012" w:leader="none"/>
              </w:tabs>
              <w:spacing w:before="0" w:after="200"/>
              <w:rPr/>
            </w:pPr>
            <w:r>
              <w:rPr>
                <w:sz w:val="20"/>
              </w:rPr>
              <w:t xml:space="preserve">2.4  </w:t>
            </w:r>
            <w:r>
              <w:rPr>
                <w:sz w:val="20"/>
                <w:u w:val="single"/>
              </w:rPr>
              <w:t>Additional Confirmation Terms</w:t>
            </w:r>
          </w:p>
          <w:p>
            <w:pPr>
              <w:pStyle w:val="Normal"/>
              <w:tabs>
                <w:tab w:val="clear" w:pos="720"/>
                <w:tab w:val="right" w:pos="6012" w:leader="none"/>
              </w:tabs>
              <w:spacing w:before="0" w:after="200"/>
              <w:rPr>
                <w:sz w:val="20"/>
              </w:rPr>
            </w:pPr>
            <w:r>
              <w:rPr>
                <w:sz w:val="20"/>
              </w:rPr>
              <w:t>Delete “either orally or” after “Section 2.3 unless agreed to.”</w:t>
            </w:r>
          </w:p>
          <w:p>
            <w:pPr>
              <w:pStyle w:val="Normal"/>
              <w:rPr/>
            </w:pPr>
            <w:r>
              <w:rPr>
                <w:sz w:val="20"/>
              </w:rPr>
              <w:t xml:space="preserve">10.4  </w:t>
            </w:r>
            <w:r>
              <w:rPr>
                <w:sz w:val="20"/>
                <w:u w:val="single"/>
              </w:rPr>
              <w:t>Indemnity</w:t>
            </w:r>
            <w:r>
              <w:rPr>
                <w:sz w:val="20"/>
              </w:rPr>
              <w:t xml:space="preserve">.  </w:t>
            </w:r>
          </w:p>
          <w:p>
            <w:pPr>
              <w:pStyle w:val="Normal"/>
              <w:rPr>
                <w:sz w:val="20"/>
              </w:rPr>
            </w:pPr>
            <w:r>
              <w:rPr>
                <w:sz w:val="20"/>
              </w:rPr>
            </w:r>
          </w:p>
          <w:p>
            <w:pPr>
              <w:pStyle w:val="Normal"/>
              <w:rPr>
                <w:sz w:val="20"/>
              </w:rPr>
            </w:pPr>
            <w:r>
              <w:rPr>
                <w:sz w:val="20"/>
              </w:rPr>
              <w:t>Add the following language as the last sentence of this section”  “Notwithstanding this Section 10.4, no obligation of indemnification shall arise with respect to any claim to the extent the same resulted from the negligence, willful misconduct or bad faith of the Indemnified Party.”</w:t>
            </w:r>
          </w:p>
          <w:p>
            <w:pPr>
              <w:pStyle w:val="Normal"/>
              <w:rPr>
                <w:sz w:val="20"/>
              </w:rPr>
            </w:pPr>
            <w:r>
              <w:rPr>
                <w:sz w:val="20"/>
              </w:rPr>
            </w:r>
          </w:p>
          <w:p>
            <w:pPr>
              <w:pStyle w:val="Normal"/>
              <w:rPr>
                <w:sz w:val="20"/>
              </w:rPr>
            </w:pPr>
            <w:r>
              <w:rPr>
                <w:sz w:val="20"/>
              </w:rPr>
              <w:t>Add the following paragraph at the end of Section 10.4:</w:t>
            </w:r>
          </w:p>
          <w:p>
            <w:pPr>
              <w:pStyle w:val="Normal"/>
              <w:rPr>
                <w:sz w:val="20"/>
              </w:rPr>
            </w:pPr>
            <w:r>
              <w:rPr>
                <w:sz w:val="20"/>
              </w:rPr>
            </w:r>
          </w:p>
          <w:p>
            <w:pPr>
              <w:pStyle w:val="Normal"/>
              <w:rPr>
                <w:sz w:val="20"/>
              </w:rPr>
            </w:pPr>
            <w:r>
              <w:rPr>
                <w:sz w:val="20"/>
              </w:rPr>
              <w:t>“</w:t>
            </w:r>
            <w:r>
              <w:rPr>
                <w:sz w:val="20"/>
              </w:rPr>
              <w:t>Notwithstanding the foregoing, MMWEC agrees to indemnify, defend and hold harmless Party A under this Section 10.4 only to the extent, if any, a court of competent jurisdiction would enforce such agreement as not contrary to law or public policy and as permitted and limited by applicable law.”</w:t>
            </w:r>
          </w:p>
          <w:p>
            <w:pPr>
              <w:pStyle w:val="Normal"/>
              <w:rPr>
                <w:sz w:val="20"/>
              </w:rPr>
            </w:pPr>
            <w:r>
              <w:rPr>
                <w:sz w:val="20"/>
              </w:rPr>
            </w:r>
          </w:p>
          <w:p>
            <w:pPr>
              <w:pStyle w:val="Normal"/>
              <w:rPr>
                <w:sz w:val="20"/>
              </w:rPr>
            </w:pPr>
            <w:r>
              <w:rPr>
                <w:sz w:val="20"/>
              </w:rPr>
            </w:r>
          </w:p>
          <w:p>
            <w:pPr>
              <w:pStyle w:val="Normal"/>
              <w:tabs>
                <w:tab w:val="clear" w:pos="720"/>
                <w:tab w:val="right" w:pos="6012" w:leader="none"/>
              </w:tabs>
              <w:spacing w:before="0" w:after="200"/>
              <w:rPr>
                <w:sz w:val="20"/>
              </w:rPr>
            </w:pPr>
            <w:r>
              <w:rPr>
                <w:sz w:val="20"/>
              </w:rPr>
              <w:t xml:space="preserve">10.6   </w:t>
            </w:r>
            <w:r>
              <w:rPr>
                <w:sz w:val="20"/>
                <w:u w:val="single"/>
              </w:rPr>
              <w:t>Governing Law</w:t>
            </w:r>
          </w:p>
          <w:p>
            <w:pPr>
              <w:pStyle w:val="Normal"/>
              <w:tabs>
                <w:tab w:val="clear" w:pos="720"/>
                <w:tab w:val="right" w:pos="6012" w:leader="none"/>
              </w:tabs>
              <w:spacing w:before="0" w:after="200"/>
              <w:rPr>
                <w:sz w:val="20"/>
              </w:rPr>
            </w:pPr>
            <w:r>
              <w:rPr>
                <w:sz w:val="20"/>
              </w:rPr>
              <w:t>Replace Section 10.6 in its entirety with the following: “This Agreement and the rights and duties of the Parties hereunder shall be governed by and construed, enforced and performed in accordance with the laws of the Commonwealth of Massachusetts without regard to principles of conflict of law.</w:t>
            </w:r>
          </w:p>
          <w:p>
            <w:pPr>
              <w:pStyle w:val="Normal"/>
              <w:tabs>
                <w:tab w:val="clear" w:pos="720"/>
                <w:tab w:val="right" w:pos="6012" w:leader="none"/>
              </w:tabs>
              <w:spacing w:before="0" w:after="200"/>
              <w:rPr>
                <w:sz w:val="20"/>
              </w:rPr>
            </w:pPr>
            <w:r>
              <w:rPr>
                <w:sz w:val="20"/>
                <w:u w:val="single"/>
              </w:rPr>
              <w:t>Schedule M</w:t>
            </w:r>
          </w:p>
          <w:p>
            <w:pPr>
              <w:pStyle w:val="Normal"/>
              <w:tabs>
                <w:tab w:val="clear" w:pos="720"/>
                <w:tab w:val="right" w:pos="6012" w:leader="none"/>
              </w:tabs>
              <w:spacing w:before="0" w:after="200"/>
              <w:rPr>
                <w:sz w:val="20"/>
              </w:rPr>
            </w:pPr>
            <w:r>
              <w:rPr>
                <w:sz w:val="20"/>
              </w:rPr>
              <w:t>Part A of Schedule M is revised by inserting “Mass. St. 1975, c. 775” in the definition of “Act.”</w:t>
            </w:r>
          </w:p>
          <w:p>
            <w:pPr>
              <w:pStyle w:val="Normal"/>
              <w:tabs>
                <w:tab w:val="clear" w:pos="720"/>
                <w:tab w:val="right" w:pos="6012" w:leader="none"/>
              </w:tabs>
              <w:spacing w:before="0" w:after="200"/>
              <w:rPr>
                <w:sz w:val="20"/>
              </w:rPr>
            </w:pPr>
            <w:r>
              <w:rPr>
                <w:sz w:val="20"/>
              </w:rPr>
              <w:t xml:space="preserve">Part A of Schedule M is revised by deleting the definition of Special Fund.  </w:t>
            </w:r>
          </w:p>
          <w:p>
            <w:pPr>
              <w:pStyle w:val="Normal"/>
              <w:tabs>
                <w:tab w:val="clear" w:pos="720"/>
                <w:tab w:val="right" w:pos="6012" w:leader="none"/>
              </w:tabs>
              <w:spacing w:before="0" w:after="200"/>
              <w:rPr>
                <w:sz w:val="20"/>
              </w:rPr>
            </w:pPr>
            <w:r>
              <w:rPr>
                <w:sz w:val="20"/>
              </w:rPr>
              <w:t>Part C of Schedule M is revised by replacing clause (v) in its entirety with the following: “The Public Power System’s payments hereunder are operating and maintenance costs (or similar designation) under the Act and all other relevant constitutional, organic or other governing documents and applicable law.</w:t>
            </w:r>
          </w:p>
          <w:p>
            <w:pPr>
              <w:pStyle w:val="Normal"/>
              <w:tabs>
                <w:tab w:val="clear" w:pos="720"/>
                <w:tab w:val="right" w:pos="6012" w:leader="none"/>
              </w:tabs>
              <w:spacing w:before="0" w:after="200"/>
              <w:rPr>
                <w:sz w:val="20"/>
              </w:rPr>
            </w:pPr>
            <w:r>
              <w:rPr>
                <w:sz w:val="20"/>
              </w:rPr>
              <w:t>Part C of Schedule M is further revised by inserting “for the purchase by Governmental Entity or Public Power System of Product” after “and each Transaction” in clause (vi).</w:t>
            </w:r>
          </w:p>
          <w:p>
            <w:pPr>
              <w:pStyle w:val="Normal"/>
              <w:tabs>
                <w:tab w:val="clear" w:pos="720"/>
                <w:tab w:val="right" w:pos="6012" w:leader="none"/>
              </w:tabs>
              <w:spacing w:before="0" w:after="200"/>
              <w:rPr>
                <w:sz w:val="20"/>
              </w:rPr>
            </w:pPr>
            <w:r>
              <w:rPr>
                <w:sz w:val="20"/>
              </w:rPr>
              <w:t>Part D of Schedule M is revised by replacing “On the Effective Date and as a condition to the obligations” with “At the request of the other Party prior to the Effective Date and at the expense”.</w:t>
            </w:r>
          </w:p>
          <w:p>
            <w:pPr>
              <w:pStyle w:val="Normal"/>
              <w:tabs>
                <w:tab w:val="clear" w:pos="720"/>
                <w:tab w:val="right" w:pos="6012" w:leader="none"/>
              </w:tabs>
              <w:spacing w:before="0" w:after="200"/>
              <w:rPr>
                <w:sz w:val="20"/>
              </w:rPr>
            </w:pPr>
            <w:r>
              <w:rPr>
                <w:sz w:val="20"/>
              </w:rPr>
            </w:r>
          </w:p>
        </w:tc>
      </w:tr>
      <w:tr>
        <w:trPr/>
        <w:tc>
          <w:tcPr>
            <w:tcW w:w="3348" w:type="dxa"/>
            <w:tcBorders/>
          </w:tcPr>
          <w:p>
            <w:pPr>
              <w:pStyle w:val="Normal"/>
              <w:tabs>
                <w:tab w:val="clear" w:pos="720"/>
                <w:tab w:val="right" w:pos="3060" w:leader="none"/>
              </w:tabs>
              <w:spacing w:before="0" w:after="200"/>
              <w:rPr/>
            </w:pPr>
            <w:r>
              <w:rPr/>
              <w:t>§</w:t>
            </w:r>
          </w:p>
        </w:tc>
        <w:tc>
          <w:tcPr>
            <w:tcW w:w="6228" w:type="dxa"/>
            <w:gridSpan w:val="2"/>
            <w:tcBorders/>
          </w:tcPr>
          <w:p>
            <w:pPr>
              <w:pStyle w:val="Normal"/>
              <w:snapToGrid w:val="false"/>
              <w:rPr>
                <w:sz w:val="20"/>
              </w:rPr>
            </w:pPr>
            <w:r>
              <w:rPr>
                <w:sz w:val="20"/>
              </w:rPr>
            </w:r>
          </w:p>
        </w:tc>
      </w:tr>
    </w:tbl>
    <w:p>
      <w:pPr>
        <w:pStyle w:val="Normal"/>
        <w:rPr>
          <w:sz w:val="20"/>
        </w:rPr>
      </w:pPr>
      <w:r>
        <w:rPr>
          <w:sz w:val="20"/>
        </w:rPr>
      </w:r>
    </w:p>
    <w:p>
      <w:pPr>
        <w:pStyle w:val="Normal"/>
        <w:rPr>
          <w:sz w:val="20"/>
        </w:rPr>
      </w:pPr>
      <w:r>
        <w:rPr>
          <w:sz w:val="20"/>
        </w:rPr>
      </w:r>
      <w:r>
        <w:br w:type="page"/>
      </w:r>
    </w:p>
    <w:p>
      <w:pPr>
        <w:pStyle w:val="Normal"/>
        <w:spacing w:before="0" w:after="240"/>
        <w:rPr>
          <w:sz w:val="20"/>
        </w:rPr>
      </w:pPr>
      <w:r>
        <w:rPr>
          <w:sz w:val="20"/>
        </w:rPr>
        <w:t>IN WITNESS WHEREOF, the Parties have caused this Master Agreement to be duly executed as of the date first above written.</w:t>
      </w:r>
    </w:p>
    <w:p>
      <w:pPr>
        <w:pStyle w:val="Signature-dbl"/>
        <w:spacing w:before="0" w:after="0"/>
        <w:rPr>
          <w:sz w:val="20"/>
        </w:rPr>
      </w:pPr>
      <w:r>
        <w:rPr>
          <w:sz w:val="20"/>
        </w:rPr>
        <w:t>Enron Power Marketing, Inc.</w:t>
        <w:tab/>
        <w:tab/>
        <w:t xml:space="preserve">Massachusetts Municipal Wholesale </w:t>
      </w:r>
    </w:p>
    <w:p>
      <w:pPr>
        <w:pStyle w:val="Signature-dbl"/>
        <w:rPr>
          <w:sz w:val="20"/>
        </w:rPr>
      </w:pPr>
      <w:r>
        <w:rPr>
          <w:sz w:val="20"/>
        </w:rPr>
        <w:tab/>
        <w:tab/>
        <w:t xml:space="preserve">   Electric Company</w:t>
      </w:r>
    </w:p>
    <w:p>
      <w:pPr>
        <w:pStyle w:val="Signature-dbl"/>
        <w:rPr>
          <w:sz w:val="20"/>
        </w:rPr>
      </w:pPr>
      <w:r>
        <w:rPr>
          <w:sz w:val="20"/>
        </w:rPr>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pPr>
      <w:r>
        <w:rPr>
          <w:sz w:val="20"/>
        </w:rPr>
        <w:t xml:space="preserve">Name: </w:t>
      </w:r>
      <w:r>
        <w:rPr>
          <w:sz w:val="20"/>
          <w:u w:val="single"/>
        </w:rPr>
        <w:tab/>
      </w:r>
      <w:r>
        <w:rPr>
          <w:sz w:val="20"/>
        </w:rPr>
        <w:tab/>
        <w:t>Name:  Roger W. Bacon</w:t>
      </w:r>
    </w:p>
    <w:p>
      <w:pPr>
        <w:pStyle w:val="Signature-dbl"/>
        <w:rPr/>
      </w:pPr>
      <w:r>
        <w:rPr>
          <w:sz w:val="20"/>
        </w:rPr>
        <w:t xml:space="preserve">Title: </w:t>
      </w:r>
      <w:r>
        <w:rPr>
          <w:sz w:val="20"/>
          <w:u w:val="single"/>
        </w:rPr>
        <w:tab/>
      </w:r>
      <w:r>
        <w:rPr>
          <w:sz w:val="20"/>
        </w:rPr>
        <w:tab/>
        <w:t>Title:    Acting General Manager</w:t>
      </w:r>
    </w:p>
    <w:p>
      <w:pPr>
        <w:pStyle w:val="Normal"/>
        <w:rPr>
          <w:sz w:val="20"/>
        </w:rPr>
      </w:pPr>
      <w:r>
        <w:rPr>
          <w:sz w:val="20"/>
        </w:rPr>
      </w:r>
    </w:p>
    <w:p>
      <w:pPr>
        <w:pStyle w:val="Normal"/>
        <w:rPr>
          <w:sz w:val="20"/>
        </w:rPr>
      </w:pPr>
      <w:r>
        <w:rPr>
          <w:sz w:val="20"/>
        </w:rPr>
      </w:r>
    </w:p>
    <w:p>
      <w:pPr>
        <w:pStyle w:val="Normal"/>
        <w:rPr/>
      </w:pPr>
      <w:r>
        <w:rPr/>
      </w:r>
    </w:p>
    <w:p>
      <w:pPr>
        <w:pStyle w:val="BlockTextBold"/>
        <w:rPr/>
      </w:pPr>
      <w:r>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BlockTextBold"/>
        <w:spacing w:before="0" w:after="240"/>
        <w:rPr>
          <w:sz w:val="16"/>
        </w:rPr>
      </w:pPr>
      <w:r>
        <w:rPr>
          <w:sz w:val="16"/>
        </w:rPr>
      </w:r>
    </w:p>
    <w:sectPr>
      <w:footerReference w:type="default" r:id="rId2"/>
      <w:footerReference w:type="first" r:id="rId3"/>
      <w:type w:val="nextPage"/>
      <w:pgSz w:w="12240" w:h="15840"/>
      <w:pgMar w:left="1440" w:right="1440" w:gutter="0" w:header="0" w:top="1440" w:footer="57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tabs>
        <w:tab w:val="clear" w:pos="720"/>
        <w:tab w:val="right" w:pos="4475" w:leader="none"/>
      </w:tabs>
      <w:spacing w:before="80" w:after="0"/>
      <w:ind w:hanging="0" w:start="245"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2001-05-30T17:08:00Z</dcterms:created>
  <dc:creator>WordProcessing</dc:creator>
  <dc:description/>
  <dc:language>en-CA</dc:language>
  <cp:lastModifiedBy>gwood</cp:lastModifiedBy>
  <cp:lastPrinted>2001-05-30T13:52:00Z</cp:lastPrinted>
  <dcterms:modified xsi:type="dcterms:W3CDTF">2001-05-30T17:08:00Z</dcterms:modified>
  <cp:revision>2</cp:revision>
  <dc:subject/>
  <dc:title>  </dc:title>
</cp:coreProperties>
</file>