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rPr>
      </w:pPr>
      <w:r>
        <w:rPr>
          <w:sz w:val="24"/>
        </w:rPr>
        <w:t>CULLEN AND DYKMAN LLP</w:t>
      </w:r>
    </w:p>
    <w:p>
      <w:pPr>
        <w:pStyle w:val="Normal"/>
        <w:jc w:val="both"/>
        <w:rPr>
          <w:sz w:val="24"/>
        </w:rPr>
      </w:pPr>
      <w:r>
        <w:rPr>
          <w:sz w:val="24"/>
        </w:rPr>
        <w:t>Antonia M. Donohue, Esq. (A.D. 7707)</w:t>
      </w:r>
    </w:p>
    <w:p>
      <w:pPr>
        <w:pStyle w:val="Normal"/>
        <w:jc w:val="both"/>
        <w:rPr>
          <w:sz w:val="24"/>
        </w:rPr>
      </w:pPr>
      <w:r>
        <w:rPr>
          <w:sz w:val="24"/>
        </w:rPr>
        <w:t>100 Quentin Roosevelt Boulevard</w:t>
      </w:r>
    </w:p>
    <w:p>
      <w:pPr>
        <w:pStyle w:val="Normal"/>
        <w:jc w:val="both"/>
        <w:rPr>
          <w:sz w:val="24"/>
        </w:rPr>
      </w:pPr>
      <w:r>
        <w:rPr>
          <w:sz w:val="24"/>
        </w:rPr>
        <w:t>Garden City, New York 11530</w:t>
      </w:r>
    </w:p>
    <w:p>
      <w:pPr>
        <w:pStyle w:val="Normal"/>
        <w:tabs>
          <w:tab w:val="clear" w:pos="720"/>
          <w:tab w:val="left" w:pos="-1440" w:leader="none"/>
        </w:tabs>
        <w:ind w:hanging="720" w:start="720" w:end="0"/>
        <w:jc w:val="both"/>
        <w:rPr>
          <w:sz w:val="24"/>
        </w:rPr>
      </w:pPr>
      <w:r>
        <w:rPr>
          <w:sz w:val="24"/>
        </w:rPr>
        <w:t>PH:</w:t>
        <w:tab/>
        <w:t>(516) 357-3768</w:t>
      </w:r>
    </w:p>
    <w:p>
      <w:pPr>
        <w:pStyle w:val="Normal"/>
        <w:tabs>
          <w:tab w:val="clear" w:pos="720"/>
          <w:tab w:val="left" w:pos="-1440" w:leader="none"/>
        </w:tabs>
        <w:ind w:hanging="720" w:start="720" w:end="0"/>
        <w:jc w:val="both"/>
        <w:rPr>
          <w:sz w:val="24"/>
        </w:rPr>
      </w:pPr>
      <w:r>
        <w:rPr>
          <w:sz w:val="24"/>
        </w:rPr>
        <w:t>FAX:</w:t>
        <w:tab/>
        <w:t>(516) 357-3792</w:t>
      </w:r>
    </w:p>
    <w:p>
      <w:pPr>
        <w:pStyle w:val="Normal"/>
        <w:jc w:val="both"/>
        <w:rPr>
          <w:sz w:val="24"/>
        </w:rPr>
      </w:pPr>
      <w:r>
        <w:rPr>
          <w:sz w:val="24"/>
        </w:rPr>
      </w:r>
    </w:p>
    <w:p>
      <w:pPr>
        <w:pStyle w:val="Normal"/>
        <w:jc w:val="both"/>
        <w:rPr>
          <w:sz w:val="24"/>
        </w:rPr>
      </w:pPr>
      <w:r>
        <w:rPr>
          <w:sz w:val="24"/>
        </w:rPr>
        <w:t>Attorneys for Boston Gas Company</w:t>
      </w:r>
    </w:p>
    <w:p>
      <w:pPr>
        <w:pStyle w:val="Normal"/>
        <w:jc w:val="both"/>
        <w:rPr>
          <w:sz w:val="24"/>
        </w:rPr>
      </w:pPr>
      <w:r>
        <w:rPr>
          <w:sz w:val="24"/>
        </w:rPr>
        <w:t>d/b/a KeySpan Energy Delivery New England</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UNITED STATES BANKRUPTCY COURT</w:t>
      </w:r>
    </w:p>
    <w:p>
      <w:pPr>
        <w:pStyle w:val="Normal"/>
        <w:jc w:val="both"/>
        <w:rPr>
          <w:sz w:val="24"/>
        </w:rPr>
      </w:pPr>
      <w:r>
        <w:rPr>
          <w:sz w:val="24"/>
        </w:rPr>
        <w:t>SOUTHERN DISTRICT OF NEW YORK</w:t>
      </w:r>
    </w:p>
    <w:p>
      <w:pPr>
        <w:pStyle w:val="Normal"/>
        <w:jc w:val="both"/>
        <w:rPr>
          <w:sz w:val="24"/>
        </w:rPr>
      </w:pPr>
      <w:r>
        <w:rPr>
          <w:sz w:val="24"/>
        </w:rPr>
        <w:t>------------------------------------------------------------x</w:t>
      </w:r>
    </w:p>
    <w:p>
      <w:pPr>
        <w:pStyle w:val="Normal"/>
        <w:tabs>
          <w:tab w:val="clear" w:pos="720"/>
          <w:tab w:val="left" w:pos="-1440" w:leader="none"/>
        </w:tabs>
        <w:ind w:hanging="5760" w:start="5760" w:end="0"/>
        <w:jc w:val="both"/>
        <w:rPr>
          <w:sz w:val="24"/>
        </w:rPr>
      </w:pPr>
      <w:r>
        <w:rPr>
          <w:sz w:val="24"/>
        </w:rPr>
        <w:t>In re:</w:t>
        <w:tab/>
        <w:tab/>
        <w:tab/>
        <w:tab/>
        <w:tab/>
        <w:tab/>
        <w:t xml:space="preserve">       </w:t>
        <w:tab/>
        <w:tab/>
      </w:r>
      <w:r>
        <w:rPr>
          <w:sz w:val="24"/>
          <w:u w:val="single"/>
        </w:rPr>
        <w:t>STIPULATION</w:t>
      </w:r>
    </w:p>
    <w:p>
      <w:pPr>
        <w:pStyle w:val="Normal"/>
        <w:jc w:val="both"/>
        <w:rPr>
          <w:sz w:val="24"/>
        </w:rPr>
      </w:pPr>
      <w:r>
        <w:rPr>
          <w:sz w:val="24"/>
        </w:rPr>
      </w:r>
    </w:p>
    <w:p>
      <w:pPr>
        <w:pStyle w:val="Normal"/>
        <w:tabs>
          <w:tab w:val="clear" w:pos="720"/>
          <w:tab w:val="left" w:pos="-1440" w:leader="none"/>
        </w:tabs>
        <w:ind w:hanging="5760" w:start="5760" w:end="0"/>
        <w:jc w:val="both"/>
        <w:rPr>
          <w:sz w:val="24"/>
        </w:rPr>
      </w:pPr>
      <w:r>
        <w:rPr>
          <w:sz w:val="24"/>
        </w:rPr>
        <w:t>ENRON CORP., et. al.</w:t>
        <w:tab/>
        <w:tab/>
        <w:tab/>
        <w:t xml:space="preserve">       </w:t>
        <w:tab/>
        <w:tab/>
        <w:t>Chapter 11</w:t>
      </w:r>
    </w:p>
    <w:p>
      <w:pPr>
        <w:pStyle w:val="Normal"/>
        <w:jc w:val="both"/>
        <w:rPr>
          <w:sz w:val="24"/>
        </w:rPr>
      </w:pPr>
      <w:r>
        <w:rPr>
          <w:sz w:val="24"/>
        </w:rPr>
      </w:r>
    </w:p>
    <w:p>
      <w:pPr>
        <w:pStyle w:val="Normal"/>
        <w:tabs>
          <w:tab w:val="clear" w:pos="720"/>
          <w:tab w:val="left" w:pos="-1440" w:leader="none"/>
        </w:tabs>
        <w:ind w:hanging="1440" w:start="5760" w:end="0"/>
        <w:jc w:val="both"/>
        <w:rPr>
          <w:sz w:val="24"/>
        </w:rPr>
      </w:pPr>
      <w:r>
        <w:rPr>
          <w:sz w:val="24"/>
        </w:rPr>
        <w:t xml:space="preserve">       </w:t>
      </w:r>
      <w:r>
        <w:rPr>
          <w:sz w:val="24"/>
        </w:rPr>
        <w:tab/>
        <w:tab/>
        <w:t>Case No. 01-B-16034 (AJG)</w:t>
      </w:r>
    </w:p>
    <w:p>
      <w:pPr>
        <w:pStyle w:val="Normal"/>
        <w:ind w:firstLine="2880" w:end="0"/>
        <w:jc w:val="both"/>
        <w:rPr>
          <w:sz w:val="24"/>
        </w:rPr>
      </w:pPr>
      <w:r>
        <w:rPr>
          <w:sz w:val="24"/>
        </w:rPr>
        <w:t>Debtors.</w:t>
      </w:r>
    </w:p>
    <w:p>
      <w:pPr>
        <w:pStyle w:val="Normal"/>
        <w:ind w:firstLine="5760" w:end="0"/>
        <w:jc w:val="both"/>
        <w:rPr>
          <w:sz w:val="24"/>
        </w:rPr>
      </w:pPr>
      <w:r>
        <w:rPr>
          <w:sz w:val="24"/>
        </w:rPr>
        <w:t>(Jointly Administered)</w:t>
      </w:r>
    </w:p>
    <w:p>
      <w:pPr>
        <w:pStyle w:val="Normal"/>
        <w:jc w:val="both"/>
        <w:rPr>
          <w:sz w:val="24"/>
        </w:rPr>
      </w:pPr>
      <w:r>
        <w:rPr>
          <w:sz w:val="24"/>
        </w:rPr>
        <w:t>------------------------------------------------------------x</w:t>
      </w:r>
    </w:p>
    <w:p>
      <w:pPr>
        <w:pStyle w:val="Normal"/>
        <w:spacing w:lineRule="auto" w:line="480"/>
        <w:jc w:val="both"/>
        <w:rPr>
          <w:sz w:val="24"/>
        </w:rPr>
      </w:pPr>
      <w:r>
        <w:rPr>
          <w:sz w:val="24"/>
        </w:rPr>
      </w:r>
    </w:p>
    <w:p>
      <w:pPr>
        <w:pStyle w:val="Normal"/>
        <w:spacing w:lineRule="auto" w:line="480"/>
        <w:ind w:firstLine="720" w:end="0"/>
        <w:jc w:val="both"/>
        <w:rPr>
          <w:sz w:val="24"/>
        </w:rPr>
      </w:pPr>
      <w:r>
        <w:rPr>
          <w:sz w:val="24"/>
        </w:rPr>
        <w:t>WHEREAS, Boston Gas Company d/b/a KeySpan Energy Delivery New England ("KED-NE") is a customer of  Iroquois Gas Transmission System, L.P. ("IGTS") under IGTS's Rate Schedule RTS and of Tennessee Gas Pipeline Company ("Tennessee") under Tennessee's Rate Schedule FT-A; and</w:t>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spacing w:lineRule="auto" w:line="480"/>
        <w:ind w:firstLine="720" w:end="0"/>
        <w:jc w:val="both"/>
        <w:rPr/>
      </w:pPr>
      <w:r>
        <w:rPr>
          <w:sz w:val="24"/>
        </w:rPr>
        <w:t xml:space="preserve">WHEREAS, KED-NE and Enron </w:t>
      </w:r>
      <w:r>
        <w:rPr>
          <w:strike/>
          <w:sz w:val="24"/>
        </w:rPr>
        <w:t>Capital &amp; Trade Resources</w:t>
      </w:r>
      <w:r>
        <w:rPr>
          <w:sz w:val="24"/>
          <w:u w:val="double"/>
        </w:rPr>
        <w:t>North America</w:t>
      </w:r>
      <w:r>
        <w:rPr>
          <w:sz w:val="24"/>
        </w:rPr>
        <w:t xml:space="preserve"> Corp. ("</w:t>
      </w:r>
      <w:r>
        <w:rPr>
          <w:strike/>
          <w:sz w:val="24"/>
        </w:rPr>
        <w:t>ECT</w:t>
      </w:r>
      <w:r>
        <w:rPr>
          <w:sz w:val="24"/>
          <w:u w:val="double"/>
        </w:rPr>
        <w:t>ENA</w:t>
      </w:r>
      <w:r>
        <w:rPr>
          <w:sz w:val="24"/>
        </w:rPr>
        <w:t xml:space="preserve">") are parties to that certain "Agreement to Assign Firm Transportation Capacity of Iroquois Gas Transmission and Tennessee Gas Pipeline," dated as of November 12, 1997 (the "Agreement"), pursuant to which KED-NE released and assigned to </w:t>
      </w:r>
      <w:r>
        <w:rPr>
          <w:strike/>
          <w:sz w:val="24"/>
        </w:rPr>
        <w:t>ECT</w:t>
      </w:r>
      <w:r>
        <w:rPr>
          <w:sz w:val="24"/>
          <w:u w:val="double"/>
        </w:rPr>
        <w:t>ENA</w:t>
      </w:r>
      <w:r>
        <w:rPr>
          <w:sz w:val="24"/>
        </w:rPr>
        <w:t xml:space="preserve"> 35,</w:t>
      </w:r>
      <w:r>
        <w:rPr>
          <w:strike/>
          <w:sz w:val="24"/>
        </w:rPr>
        <w:t>000</w:t>
      </w:r>
      <w:r>
        <w:rPr>
          <w:sz w:val="24"/>
          <w:u w:val="double"/>
        </w:rPr>
        <w:t>465</w:t>
      </w:r>
      <w:r>
        <w:rPr>
          <w:sz w:val="24"/>
        </w:rPr>
        <w:t xml:space="preserve"> million British Thermal Units ("MMBtu") per day of KED-NE's IGTS RTS capacity (the "Assigned IGTS Capacity") and also 35,000 MMBtu per day of KED-NE's Tennessee FT-A capacity (the "Assigned Tennessee Capacity" and collectively with the Assigned IGTS Capacity, the "Assigned Capacity") for the term of the Agreement, which commenced on January 1, 1998 and unless terminated earlier will expire on March 31, 2007; and</w:t>
      </w:r>
    </w:p>
    <w:p>
      <w:pPr>
        <w:pStyle w:val="Normal"/>
        <w:spacing w:lineRule="auto" w:line="480"/>
        <w:ind w:firstLine="720" w:end="0"/>
        <w:jc w:val="both"/>
        <w:rPr/>
      </w:pPr>
      <w:r>
        <w:rPr>
          <w:sz w:val="24"/>
        </w:rPr>
        <w:t xml:space="preserve">WHEREAS, IGTS's Rate Schedule RTS requires KED-NE to pay all fixed charges for the Assigned IGTS Capacity that </w:t>
      </w:r>
      <w:r>
        <w:rPr>
          <w:strike/>
          <w:sz w:val="24"/>
        </w:rPr>
        <w:t>ECT</w:t>
      </w:r>
      <w:r>
        <w:rPr>
          <w:sz w:val="24"/>
          <w:u w:val="double"/>
        </w:rPr>
        <w:t>ENA</w:t>
      </w:r>
      <w:r>
        <w:rPr>
          <w:sz w:val="24"/>
        </w:rPr>
        <w:t xml:space="preserve"> fails to pay IGTS, and Tennessee's Rate Schedule  FT-A requires KED-NE to pay all fixed charges for the Assigned Tennessee Capacity that </w:t>
      </w:r>
      <w:r>
        <w:rPr>
          <w:strike/>
          <w:sz w:val="24"/>
        </w:rPr>
        <w:t>ECT</w:t>
      </w:r>
      <w:r>
        <w:rPr>
          <w:sz w:val="24"/>
          <w:u w:val="double"/>
        </w:rPr>
        <w:t>ENA</w:t>
      </w:r>
      <w:r>
        <w:rPr>
          <w:sz w:val="24"/>
        </w:rPr>
        <w:t xml:space="preserve"> fails to pay Tennessee; and</w:t>
      </w:r>
    </w:p>
    <w:p>
      <w:pPr>
        <w:pStyle w:val="Normal"/>
        <w:spacing w:lineRule="auto" w:line="480"/>
        <w:ind w:firstLine="720" w:end="0"/>
        <w:jc w:val="both"/>
        <w:rPr>
          <w:strike/>
          <w:sz w:val="24"/>
        </w:rPr>
      </w:pPr>
      <w:r>
        <w:rPr>
          <w:strike/>
          <w:sz w:val="24"/>
        </w:rPr>
        <w:t>WHEREAS, ECT has failed to make any payments to IGTS for the Assigned IGTS Capacity attributable to service on and after ___________; and</w:t>
      </w:r>
    </w:p>
    <w:p>
      <w:pPr>
        <w:pStyle w:val="Normal"/>
        <w:spacing w:lineRule="auto" w:line="480"/>
        <w:ind w:firstLine="720" w:end="0"/>
        <w:jc w:val="both"/>
        <w:rPr>
          <w:strike/>
          <w:sz w:val="24"/>
        </w:rPr>
      </w:pPr>
      <w:r>
        <w:rPr>
          <w:strike/>
          <w:sz w:val="24"/>
        </w:rPr>
        <w:t>WHEREAS, ECT has failed to make any payments to Tennessee for the Assigned Tennessee Capacity attributable to service on and after ___________; and</w:t>
      </w:r>
    </w:p>
    <w:p>
      <w:pPr>
        <w:pStyle w:val="Normal"/>
        <w:spacing w:lineRule="auto" w:line="480"/>
        <w:ind w:firstLine="720" w:end="0"/>
        <w:jc w:val="both"/>
        <w:rPr/>
      </w:pPr>
      <w:r>
        <w:rPr>
          <w:sz w:val="24"/>
        </w:rPr>
        <w:t xml:space="preserve">WHEREAS, the </w:t>
      </w:r>
      <w:r>
        <w:rPr>
          <w:strike/>
          <w:sz w:val="24"/>
        </w:rPr>
        <w:t>ECT</w:t>
      </w:r>
      <w:r>
        <w:rPr>
          <w:sz w:val="24"/>
          <w:u w:val="double"/>
        </w:rPr>
        <w:t>ENA</w:t>
      </w:r>
      <w:r>
        <w:rPr>
          <w:sz w:val="24"/>
        </w:rPr>
        <w:t xml:space="preserve"> and KED-NE desire that </w:t>
      </w:r>
      <w:r>
        <w:rPr>
          <w:strike/>
          <w:sz w:val="24"/>
        </w:rPr>
        <w:t>ECT</w:t>
      </w:r>
      <w:r>
        <w:rPr>
          <w:sz w:val="24"/>
          <w:u w:val="double"/>
        </w:rPr>
        <w:t>ENA</w:t>
      </w:r>
      <w:r>
        <w:rPr>
          <w:sz w:val="24"/>
        </w:rPr>
        <w:t xml:space="preserve"> release the Assigned Capacity to KED-NE on the terms and conditions set forth herein to mitigate </w:t>
      </w:r>
      <w:r>
        <w:rPr>
          <w:strike/>
          <w:sz w:val="24"/>
        </w:rPr>
        <w:t>ECT's</w:t>
      </w:r>
      <w:r>
        <w:rPr>
          <w:sz w:val="24"/>
          <w:u w:val="double"/>
        </w:rPr>
        <w:t>ENA's</w:t>
      </w:r>
      <w:r>
        <w:rPr>
          <w:sz w:val="24"/>
        </w:rPr>
        <w:t xml:space="preserve"> post-petition liabilities relating to the Assigned Capacity;</w:t>
      </w:r>
    </w:p>
    <w:p>
      <w:pPr>
        <w:pStyle w:val="Normal"/>
        <w:spacing w:lineRule="auto" w:line="480"/>
        <w:ind w:firstLine="720" w:end="0"/>
        <w:jc w:val="both"/>
        <w:rPr>
          <w:sz w:val="24"/>
        </w:rPr>
      </w:pPr>
      <w:r>
        <w:rPr>
          <w:sz w:val="24"/>
        </w:rPr>
        <w:t>NOW THEREFORE, in consideration of the foregoing and other good and valuable consideration, the receipt and sufficiency of which is hereby acknowledged, the parties hereto agree as follows:</w:t>
      </w:r>
    </w:p>
    <w:p>
      <w:pPr>
        <w:pStyle w:val="Normal"/>
        <w:spacing w:lineRule="auto" w:line="480"/>
        <w:ind w:firstLine="720" w:end="0"/>
        <w:jc w:val="both"/>
        <w:rPr/>
      </w:pPr>
      <w:r>
        <w:rPr>
          <w:sz w:val="24"/>
        </w:rPr>
        <w:t>1.</w:t>
        <w:tab/>
      </w:r>
      <w:r>
        <w:rPr>
          <w:strike/>
          <w:sz w:val="24"/>
        </w:rPr>
        <w:t>ECT</w:t>
      </w:r>
      <w:r>
        <w:rPr>
          <w:sz w:val="24"/>
          <w:u w:val="double"/>
        </w:rPr>
        <w:t>ENA</w:t>
      </w:r>
      <w:r>
        <w:rPr>
          <w:sz w:val="24"/>
        </w:rPr>
        <w:t xml:space="preserve"> shall release the Assigned IGTS Capacity and the Assigned Tennessee Capacity to KED-NE on a month-to-month basis</w:t>
      </w:r>
      <w:r>
        <w:rPr>
          <w:strike/>
          <w:sz w:val="24"/>
        </w:rPr>
        <w:t>, subject to recall</w:t>
      </w:r>
      <w:r>
        <w:rPr>
          <w:sz w:val="24"/>
        </w:rPr>
        <w:t>.</w:t>
      </w:r>
    </w:p>
    <w:p>
      <w:pPr>
        <w:pStyle w:val="Normal"/>
        <w:spacing w:lineRule="auto" w:line="480"/>
        <w:ind w:firstLine="720" w:end="0"/>
        <w:jc w:val="both"/>
        <w:rPr>
          <w:sz w:val="24"/>
        </w:rPr>
      </w:pPr>
      <w:r>
        <w:rPr>
          <w:sz w:val="24"/>
        </w:rPr>
        <w:t>2.</w:t>
        <w:tab/>
        <w:t>Each party hereto reserves any and all rights not specifically addressed in this Stipulation.</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keepNext w:val="true"/>
        <w:keepLines/>
        <w:spacing w:lineRule="auto" w:line="480"/>
        <w:ind w:firstLine="720" w:end="0"/>
        <w:jc w:val="both"/>
        <w:rPr>
          <w:sz w:val="24"/>
        </w:rPr>
      </w:pPr>
      <w:r>
        <w:rPr>
          <w:sz w:val="24"/>
        </w:rPr>
        <w:t>3.</w:t>
        <w:tab/>
        <w:t>The parties hereto agree to use best efforts to have this Stipulation approved by the United States Bankruptcy Court.</w:t>
      </w:r>
    </w:p>
    <w:p>
      <w:pPr>
        <w:pStyle w:val="Normal"/>
        <w:keepNext w:val="true"/>
        <w:keepLines/>
        <w:jc w:val="both"/>
        <w:rPr>
          <w:sz w:val="24"/>
        </w:rPr>
      </w:pPr>
      <w:r>
        <w:rPr>
          <w:sz w:val="24"/>
        </w:rPr>
      </w:r>
    </w:p>
    <w:p>
      <w:pPr>
        <w:pStyle w:val="Normal"/>
        <w:keepNext w:val="true"/>
        <w:keepLines/>
        <w:ind w:firstLine="2880" w:end="0"/>
        <w:jc w:val="both"/>
        <w:rPr/>
      </w:pPr>
      <w:r>
        <w:rPr>
          <w:sz w:val="24"/>
        </w:rPr>
        <w:t xml:space="preserve">Enron </w:t>
      </w:r>
      <w:r>
        <w:rPr>
          <w:strike/>
          <w:sz w:val="24"/>
        </w:rPr>
        <w:t>Capital &amp; Trade Resources</w:t>
      </w:r>
      <w:r>
        <w:rPr>
          <w:sz w:val="24"/>
          <w:u w:val="double"/>
        </w:rPr>
        <w:t>North America</w:t>
      </w:r>
      <w:r>
        <w:rPr>
          <w:sz w:val="24"/>
        </w:rPr>
        <w:t xml:space="preserve"> Corp.</w:t>
      </w:r>
    </w:p>
    <w:p>
      <w:pPr>
        <w:pStyle w:val="Normal"/>
        <w:keepNext w:val="true"/>
        <w:keepLines/>
        <w:jc w:val="both"/>
        <w:rPr>
          <w:sz w:val="24"/>
        </w:rPr>
      </w:pPr>
      <w:r>
        <w:rPr>
          <w:sz w:val="24"/>
        </w:rPr>
      </w:r>
    </w:p>
    <w:p>
      <w:pPr>
        <w:pStyle w:val="Normal"/>
        <w:keepNext w:val="true"/>
        <w:keepLines/>
        <w:jc w:val="both"/>
        <w:rPr>
          <w:sz w:val="24"/>
        </w:rPr>
      </w:pPr>
      <w:r>
        <w:rPr>
          <w:sz w:val="24"/>
        </w:rPr>
      </w:r>
    </w:p>
    <w:p>
      <w:pPr>
        <w:pStyle w:val="Normal"/>
        <w:keepNext w:val="true"/>
        <w:keepLines/>
        <w:ind w:firstLine="2160" w:end="0"/>
        <w:jc w:val="both"/>
        <w:rPr>
          <w:sz w:val="24"/>
        </w:rPr>
      </w:pPr>
      <w:r>
        <w:rPr>
          <w:sz w:val="24"/>
        </w:rPr>
        <w:t xml:space="preserve">       </w:t>
      </w:r>
      <w:r>
        <w:rPr>
          <w:sz w:val="24"/>
        </w:rPr>
        <w:t>By:______________________________________</w:t>
      </w:r>
    </w:p>
    <w:p>
      <w:pPr>
        <w:pStyle w:val="Normal"/>
        <w:keepNext w:val="true"/>
        <w:keepLines/>
        <w:ind w:firstLine="2880" w:end="0"/>
        <w:jc w:val="both"/>
        <w:rPr>
          <w:sz w:val="24"/>
        </w:rPr>
      </w:pPr>
      <w:r>
        <w:rPr>
          <w:strike/>
          <w:sz w:val="24"/>
        </w:rPr>
        <w:t>Edward McMichaels</w:t>
      </w:r>
      <w:r>
        <w:rPr>
          <w:sz w:val="24"/>
          <w:u w:val="double"/>
        </w:rPr>
        <w:t>Albert E. McMichael, Jr.</w:t>
      </w:r>
    </w:p>
    <w:p>
      <w:pPr>
        <w:pStyle w:val="Normal"/>
        <w:keepNext w:val="true"/>
        <w:keepLines/>
        <w:ind w:firstLine="2880" w:end="0"/>
        <w:jc w:val="both"/>
        <w:rPr>
          <w:sz w:val="24"/>
        </w:rPr>
      </w:pPr>
      <w:r>
        <w:rPr>
          <w:sz w:val="24"/>
        </w:rPr>
        <w:t>Vice President</w:t>
      </w:r>
    </w:p>
    <w:p>
      <w:pPr>
        <w:pStyle w:val="Normal"/>
        <w:keepNext w:val="true"/>
        <w:keepLines/>
        <w:jc w:val="both"/>
        <w:rPr>
          <w:sz w:val="24"/>
        </w:rPr>
      </w:pPr>
      <w:r>
        <w:rPr>
          <w:sz w:val="24"/>
        </w:rPr>
      </w:r>
    </w:p>
    <w:p>
      <w:pPr>
        <w:pStyle w:val="Normal"/>
        <w:keepNext w:val="true"/>
        <w:keepLines/>
        <w:jc w:val="both"/>
        <w:rPr>
          <w:sz w:val="24"/>
        </w:rPr>
      </w:pPr>
      <w:r>
        <w:rPr>
          <w:sz w:val="24"/>
        </w:rPr>
      </w:r>
    </w:p>
    <w:p>
      <w:pPr>
        <w:pStyle w:val="Normal"/>
        <w:keepNext w:val="true"/>
        <w:keepLines/>
        <w:ind w:firstLine="2880" w:end="0"/>
        <w:jc w:val="both"/>
        <w:rPr>
          <w:sz w:val="24"/>
        </w:rPr>
      </w:pPr>
      <w:r>
        <w:rPr>
          <w:sz w:val="24"/>
        </w:rPr>
        <w:t>Boston Gas Company d/b/a KeySpan Energy Delivery New England</w:t>
      </w:r>
    </w:p>
    <w:p>
      <w:pPr>
        <w:pStyle w:val="Normal"/>
        <w:keepNext w:val="true"/>
        <w:keepLines/>
        <w:jc w:val="both"/>
        <w:rPr>
          <w:sz w:val="24"/>
        </w:rPr>
      </w:pPr>
      <w:r>
        <w:rPr>
          <w:sz w:val="24"/>
        </w:rPr>
      </w:r>
    </w:p>
    <w:p>
      <w:pPr>
        <w:pStyle w:val="Normal"/>
        <w:keepNext w:val="true"/>
        <w:keepLines/>
        <w:jc w:val="both"/>
        <w:rPr>
          <w:sz w:val="24"/>
        </w:rPr>
      </w:pPr>
      <w:r>
        <w:rPr>
          <w:sz w:val="24"/>
        </w:rPr>
      </w:r>
    </w:p>
    <w:p>
      <w:pPr>
        <w:pStyle w:val="Normal"/>
        <w:keepNext w:val="true"/>
        <w:keepLines/>
        <w:ind w:firstLine="2160" w:end="0"/>
        <w:jc w:val="both"/>
        <w:rPr>
          <w:sz w:val="24"/>
        </w:rPr>
      </w:pPr>
      <w:r>
        <w:rPr>
          <w:sz w:val="24"/>
        </w:rPr>
        <w:t xml:space="preserve">       </w:t>
      </w:r>
      <w:r>
        <w:rPr>
          <w:sz w:val="24"/>
        </w:rPr>
        <w:t>By:______________________________________</w:t>
      </w:r>
    </w:p>
    <w:p>
      <w:pPr>
        <w:pStyle w:val="Normal"/>
        <w:keepNext w:val="true"/>
        <w:keepLines/>
        <w:jc w:val="both"/>
        <w:rPr>
          <w:sz w:val="24"/>
        </w:rPr>
      </w:pPr>
      <w:r>
        <w:rPr>
          <w:sz w:val="24"/>
        </w:rPr>
      </w:r>
    </w:p>
    <w:p>
      <w:pPr>
        <w:pStyle w:val="Normal"/>
        <w:keepNext w:val="true"/>
        <w:keepLines/>
        <w:jc w:val="both"/>
        <w:rPr>
          <w:sz w:val="24"/>
        </w:rPr>
      </w:pPr>
      <w:r>
        <w:rPr>
          <w:sz w:val="24"/>
        </w:rPr>
      </w:r>
    </w:p>
    <w:p>
      <w:pPr>
        <w:pStyle w:val="Normal"/>
        <w:keepNext w:val="true"/>
        <w:keepLines/>
        <w:ind w:firstLine="2880" w:end="0"/>
        <w:jc w:val="both"/>
        <w:rPr>
          <w:sz w:val="24"/>
        </w:rPr>
      </w:pPr>
      <w:r>
        <w:rPr>
          <w:sz w:val="24"/>
        </w:rPr>
        <w:t>_______________________________________</w:t>
      </w:r>
    </w:p>
    <w:p>
      <w:pPr>
        <w:pStyle w:val="Normal"/>
        <w:keepNext w:val="true"/>
        <w:keepLines/>
        <w:ind w:firstLine="2880" w:end="0"/>
        <w:jc w:val="both"/>
        <w:rPr>
          <w:sz w:val="24"/>
        </w:rPr>
      </w:pPr>
      <w:r>
        <w:rPr>
          <w:sz w:val="24"/>
        </w:rPr>
        <w:t>Antonia M. Donohue, Esq. (A.D. 7707)</w:t>
      </w:r>
    </w:p>
    <w:p>
      <w:pPr>
        <w:pStyle w:val="Normal"/>
        <w:keepNext w:val="true"/>
        <w:keepLines/>
        <w:ind w:firstLine="2880" w:end="0"/>
        <w:jc w:val="both"/>
        <w:rPr>
          <w:sz w:val="24"/>
        </w:rPr>
      </w:pPr>
      <w:r>
        <w:rPr>
          <w:sz w:val="24"/>
        </w:rPr>
        <w:t>Cullen and Dykman LLP</w:t>
      </w:r>
    </w:p>
    <w:p>
      <w:pPr>
        <w:pStyle w:val="Normal"/>
        <w:keepNext w:val="true"/>
        <w:keepLines/>
        <w:ind w:firstLine="2880" w:end="0"/>
        <w:jc w:val="both"/>
        <w:rPr>
          <w:sz w:val="24"/>
        </w:rPr>
      </w:pPr>
      <w:r>
        <w:rPr>
          <w:sz w:val="24"/>
        </w:rPr>
        <w:t>Attorneys for Boston Gas Company</w:t>
      </w:r>
    </w:p>
    <w:p>
      <w:pPr>
        <w:pStyle w:val="Normal"/>
        <w:keepNext w:val="true"/>
        <w:keepLines/>
        <w:ind w:firstLine="2880" w:end="0"/>
        <w:jc w:val="both"/>
        <w:rPr>
          <w:sz w:val="24"/>
        </w:rPr>
      </w:pPr>
      <w:r>
        <w:rPr>
          <w:sz w:val="24"/>
        </w:rPr>
        <w:t>d/b/a KeySpan Energy Delivery New England</w:t>
      </w:r>
    </w:p>
    <w:p>
      <w:pPr>
        <w:pStyle w:val="Normal"/>
        <w:keepNext w:val="true"/>
        <w:keepLines/>
        <w:ind w:firstLine="2880" w:end="0"/>
        <w:jc w:val="both"/>
        <w:rPr>
          <w:sz w:val="24"/>
        </w:rPr>
      </w:pPr>
      <w:r>
        <w:rPr>
          <w:sz w:val="24"/>
        </w:rPr>
        <w:t>100 Quentin Roosevelt Boulevard</w:t>
      </w:r>
    </w:p>
    <w:p>
      <w:pPr>
        <w:pStyle w:val="Normal"/>
        <w:keepNext w:val="true"/>
        <w:keepLines/>
        <w:ind w:firstLine="2880" w:end="0"/>
        <w:jc w:val="both"/>
        <w:rPr>
          <w:sz w:val="24"/>
        </w:rPr>
      </w:pPr>
      <w:r>
        <w:rPr>
          <w:sz w:val="24"/>
        </w:rPr>
        <w:t>Garden City, New York 11530</w:t>
      </w:r>
    </w:p>
    <w:p>
      <w:pPr>
        <w:pStyle w:val="Normal"/>
        <w:keepNext w:val="true"/>
        <w:keepLines/>
        <w:ind w:firstLine="2880" w:end="0"/>
        <w:jc w:val="both"/>
        <w:rPr>
          <w:sz w:val="24"/>
        </w:rPr>
      </w:pPr>
      <w:r>
        <w:rPr>
          <w:sz w:val="24"/>
        </w:rPr>
        <w:t>(516) 357-3768</w:t>
      </w:r>
    </w:p>
    <w:p>
      <w:pPr>
        <w:pStyle w:val="Normal"/>
        <w:keepNext w:val="true"/>
        <w:keepLines/>
        <w:jc w:val="both"/>
        <w:rPr>
          <w:sz w:val="24"/>
        </w:rPr>
      </w:pPr>
      <w:r>
        <w:rPr>
          <w:sz w:val="24"/>
        </w:rPr>
      </w:r>
    </w:p>
    <w:p>
      <w:pPr>
        <w:pStyle w:val="Normal"/>
        <w:keepNext w:val="true"/>
        <w:keepLines/>
        <w:ind w:firstLine="2880" w:end="0"/>
        <w:jc w:val="both"/>
        <w:rPr>
          <w:sz w:val="24"/>
        </w:rPr>
      </w:pPr>
      <w:r>
        <w:rPr>
          <w:sz w:val="24"/>
        </w:rPr>
        <w:t>_______________________________________</w:t>
      </w:r>
    </w:p>
    <w:p>
      <w:pPr>
        <w:pStyle w:val="Normal"/>
        <w:keepNext w:val="true"/>
        <w:keepLines/>
        <w:ind w:firstLine="2880" w:end="0"/>
        <w:jc w:val="both"/>
        <w:rPr>
          <w:sz w:val="24"/>
        </w:rPr>
      </w:pPr>
      <w:r>
        <w:rPr>
          <w:sz w:val="24"/>
        </w:rPr>
        <w:t>Melanie Gray, Esq. (M.G. ______)</w:t>
      </w:r>
    </w:p>
    <w:p>
      <w:pPr>
        <w:pStyle w:val="Normal"/>
        <w:keepNext w:val="true"/>
        <w:keepLines/>
        <w:ind w:firstLine="2880" w:end="0"/>
        <w:jc w:val="both"/>
        <w:rPr>
          <w:sz w:val="24"/>
        </w:rPr>
      </w:pPr>
      <w:r>
        <w:rPr>
          <w:sz w:val="24"/>
        </w:rPr>
        <w:t>Weil Gotshal &amp; Manges LLP</w:t>
      </w:r>
    </w:p>
    <w:p>
      <w:pPr>
        <w:pStyle w:val="Normal"/>
        <w:keepNext w:val="true"/>
        <w:keepLines/>
        <w:ind w:firstLine="2880" w:end="0"/>
        <w:jc w:val="both"/>
        <w:rPr>
          <w:sz w:val="24"/>
        </w:rPr>
      </w:pPr>
      <w:r>
        <w:rPr>
          <w:sz w:val="24"/>
        </w:rPr>
        <w:t>Attorneys for the Debtor</w:t>
      </w:r>
    </w:p>
    <w:p>
      <w:pPr>
        <w:pStyle w:val="Normal"/>
        <w:keepNext w:val="true"/>
        <w:keepLines/>
        <w:ind w:firstLine="2880" w:end="0"/>
        <w:jc w:val="both"/>
        <w:rPr>
          <w:sz w:val="24"/>
        </w:rPr>
      </w:pPr>
      <w:r>
        <w:rPr>
          <w:sz w:val="24"/>
        </w:rPr>
        <w:t>700 Louisiana</w:t>
      </w:r>
    </w:p>
    <w:p>
      <w:pPr>
        <w:pStyle w:val="Normal"/>
        <w:keepNext w:val="true"/>
        <w:keepLines/>
        <w:ind w:firstLine="2880" w:end="0"/>
        <w:jc w:val="both"/>
        <w:rPr>
          <w:sz w:val="24"/>
        </w:rPr>
      </w:pPr>
      <w:r>
        <w:rPr>
          <w:sz w:val="24"/>
        </w:rPr>
        <w:t>Suite 1600</w:t>
      </w:r>
    </w:p>
    <w:p>
      <w:pPr>
        <w:pStyle w:val="Normal"/>
        <w:keepNext w:val="true"/>
        <w:keepLines/>
        <w:ind w:firstLine="2880" w:end="0"/>
        <w:jc w:val="both"/>
        <w:rPr>
          <w:sz w:val="24"/>
        </w:rPr>
      </w:pPr>
      <w:r>
        <w:rPr>
          <w:sz w:val="24"/>
        </w:rPr>
        <w:t>Houston, Texas 77002</w:t>
      </w:r>
    </w:p>
    <w:p>
      <w:pPr>
        <w:pStyle w:val="Normal"/>
        <w:keepNext w:val="true"/>
        <w:keepLines/>
        <w:ind w:firstLine="2880" w:end="0"/>
        <w:jc w:val="both"/>
        <w:rPr>
          <w:sz w:val="24"/>
        </w:rPr>
      </w:pPr>
      <w:r>
        <w:rPr>
          <w:sz w:val="24"/>
        </w:rPr>
        <w:t>(713) 546-5045</w:t>
      </w:r>
    </w:p>
    <w:p>
      <w:pPr>
        <w:pStyle w:val="Normal"/>
        <w:keepNext w:val="true"/>
        <w:keepLines/>
        <w:jc w:val="both"/>
        <w:rPr>
          <w:sz w:val="24"/>
        </w:rPr>
      </w:pPr>
      <w:r>
        <w:rPr>
          <w:sz w:val="24"/>
        </w:rPr>
      </w:r>
    </w:p>
    <w:p>
      <w:pPr>
        <w:pStyle w:val="Normal"/>
        <w:keepNext w:val="true"/>
        <w:keepLines/>
        <w:jc w:val="both"/>
        <w:rPr>
          <w:sz w:val="24"/>
        </w:rPr>
      </w:pPr>
      <w:r>
        <w:rPr>
          <w:sz w:val="24"/>
        </w:rPr>
        <w:t>So ordered</w:t>
      </w:r>
    </w:p>
    <w:p>
      <w:pPr>
        <w:pStyle w:val="Normal"/>
        <w:keepNext w:val="true"/>
        <w:keepLines/>
        <w:jc w:val="both"/>
        <w:rPr>
          <w:sz w:val="24"/>
        </w:rPr>
      </w:pPr>
      <w:r>
        <w:rPr>
          <w:sz w:val="24"/>
        </w:rPr>
      </w:r>
    </w:p>
    <w:p>
      <w:pPr>
        <w:pStyle w:val="Normal"/>
        <w:keepNext w:val="true"/>
        <w:keepLines/>
        <w:jc w:val="both"/>
        <w:rPr>
          <w:sz w:val="24"/>
        </w:rPr>
      </w:pPr>
      <w:r>
        <w:rPr>
          <w:sz w:val="24"/>
        </w:rPr>
      </w:r>
    </w:p>
    <w:p>
      <w:pPr>
        <w:pStyle w:val="Normal"/>
        <w:keepNext w:val="true"/>
        <w:keepLines/>
        <w:jc w:val="both"/>
        <w:rPr>
          <w:sz w:val="24"/>
        </w:rPr>
      </w:pPr>
      <w:r>
        <w:rPr>
          <w:sz w:val="24"/>
        </w:rPr>
        <w:t>______________________________</w:t>
      </w:r>
    </w:p>
    <w:p>
      <w:pPr>
        <w:pStyle w:val="Normal"/>
        <w:keepLines/>
        <w:ind w:firstLine="2160" w:end="0"/>
        <w:jc w:val="both"/>
        <w:rPr>
          <w:sz w:val="24"/>
        </w:rPr>
      </w:pPr>
      <w:r>
        <w:rPr>
          <w:sz w:val="24"/>
        </w:rPr>
        <w:t>(U.S.B.J.)</w:t>
      </w:r>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2002-01-25T19:00:00Z</dcterms:created>
  <dc:creator>David T. Metcalfe</dc:creator>
  <dc:description/>
  <dc:language>en-CA</dc:language>
  <cp:lastModifiedBy>David T. Metcalfe</cp:lastModifiedBy>
  <dcterms:modified xsi:type="dcterms:W3CDTF">2002-01-25T19:00:00Z</dcterms:modified>
  <cp:revision>2</cp:revision>
  <dc:subject/>
  <dc:title>CULLEN AND DYKMAN LLP</dc:title>
</cp:coreProperties>
</file>