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Narrow" w:hAnsi="Arial Narrow"/>
          <w:strike/>
          <w:sz w:val="18"/>
        </w:rPr>
      </w:pPr>
      <w:r>
        <w:rPr>
          <w:rFonts w:ascii="Arial Narrow" w:hAnsi="Arial Narrow"/>
          <w:strike/>
          <w:sz w:val="18"/>
        </w:rPr>
      </w:r>
    </w:p>
    <w:p>
      <w:pPr>
        <w:pStyle w:val="Normal"/>
        <w:bidi w:val="0"/>
        <w:jc w:val="center"/>
        <w:rPr>
          <w:rFonts w:ascii="Arial Narrow" w:hAnsi="Arial Narrow"/>
          <w:strike/>
          <w:sz w:val="18"/>
        </w:rPr>
      </w:pPr>
      <w:r>
        <w:rPr>
          <w:rFonts w:ascii="Arial Narrow" w:hAnsi="Arial Narrow"/>
          <w:strike/>
          <w:sz w:val="18"/>
        </w:rPr>
      </w:r>
    </w:p>
    <w:p>
      <w:pPr>
        <w:pStyle w:val="Normal"/>
        <w:bidi w:val="0"/>
        <w:jc w:val="center"/>
        <w:rPr>
          <w:rFonts w:ascii="Arial Narrow" w:hAnsi="Arial Narrow"/>
          <w:sz w:val="18"/>
        </w:rPr>
      </w:pPr>
      <w:r>
        <w:rPr>
          <w:rFonts w:ascii="Arial Narrow" w:hAnsi="Arial Narrow"/>
          <w:strike/>
          <w:sz w:val="18"/>
        </w:rPr>
        <w:t>October</w:t>
      </w:r>
      <w:r>
        <w:rPr>
          <w:rFonts w:ascii="Arial Narrow" w:hAnsi="Arial Narrow"/>
          <w:sz w:val="18"/>
        </w:rPr>
        <w:t xml:space="preserve"> </w:t>
      </w:r>
      <w:r>
        <w:rPr>
          <w:rFonts w:ascii="Arial Narrow" w:hAnsi="Arial Narrow"/>
          <w:sz w:val="18"/>
          <w:u w:val="double"/>
        </w:rPr>
        <w:t>November 1</w:t>
      </w:r>
      <w:r>
        <w:rPr>
          <w:rFonts w:ascii="Arial Narrow" w:hAnsi="Arial Narrow"/>
          <w:sz w:val="18"/>
        </w:rPr>
        <w:t>, 2001</w:t>
      </w:r>
    </w:p>
    <w:p>
      <w:pPr>
        <w:pStyle w:val="Normal"/>
        <w:bidi w:val="0"/>
        <w:jc w:val="center"/>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TBG Cogen Partners</w:t>
      </w:r>
    </w:p>
    <w:p>
      <w:pPr>
        <w:pStyle w:val="Normal"/>
        <w:bidi w:val="0"/>
        <w:jc w:val="both"/>
        <w:rPr>
          <w:rFonts w:ascii="Arial Narrow" w:hAnsi="Arial Narrow"/>
          <w:sz w:val="18"/>
        </w:rPr>
      </w:pPr>
      <w:r>
        <w:rPr>
          <w:rFonts w:ascii="Arial Narrow" w:hAnsi="Arial Narrow"/>
          <w:sz w:val="18"/>
        </w:rPr>
        <w:t>c/o Mr. Robert Howard</w:t>
      </w:r>
    </w:p>
    <w:p>
      <w:pPr>
        <w:pStyle w:val="Normal"/>
        <w:bidi w:val="0"/>
        <w:jc w:val="both"/>
        <w:rPr>
          <w:rFonts w:ascii="Arial Narrow" w:hAnsi="Arial Narrow"/>
          <w:sz w:val="18"/>
        </w:rPr>
      </w:pPr>
      <w:r>
        <w:rPr>
          <w:rFonts w:ascii="Arial Narrow" w:hAnsi="Arial Narrow"/>
          <w:sz w:val="18"/>
        </w:rPr>
        <w:t xml:space="preserve">Calpine </w:t>
      </w:r>
      <w:r>
        <w:rPr>
          <w:rFonts w:ascii="Arial Narrow" w:hAnsi="Arial Narrow"/>
          <w:sz w:val="18"/>
          <w:u w:val="double"/>
        </w:rPr>
        <w:t>Corporation</w:t>
      </w:r>
    </w:p>
    <w:p>
      <w:pPr>
        <w:pStyle w:val="Normal"/>
        <w:bidi w:val="0"/>
        <w:jc w:val="both"/>
        <w:rPr>
          <w:rFonts w:ascii="Arial Narrow" w:hAnsi="Arial Narrow"/>
          <w:sz w:val="18"/>
        </w:rPr>
      </w:pPr>
      <w:r>
        <w:rPr>
          <w:rFonts w:ascii="Arial Narrow" w:hAnsi="Arial Narrow"/>
          <w:sz w:val="18"/>
        </w:rPr>
        <w:t>Eastern Regional Office</w:t>
      </w:r>
    </w:p>
    <w:p>
      <w:pPr>
        <w:pStyle w:val="Heading1"/>
        <w:bidi w:val="0"/>
        <w:rPr>
          <w:sz w:val="20"/>
        </w:rPr>
      </w:pPr>
      <w:r>
        <w:rPr>
          <w:sz w:val="18"/>
        </w:rPr>
        <w:t>The Pilot House, 2</w:t>
      </w:r>
      <w:r>
        <w:rPr>
          <w:sz w:val="20"/>
          <w:u w:val="double"/>
        </w:rPr>
        <w:t>8500/d</w:t>
      </w:r>
      <w:r>
        <w:rPr>
          <w:sz w:val="20"/>
        </w:rPr>
        <w:t xml:space="preserve"> TRANSACTION AGREEMENT</w:t>
      </w:r>
    </w:p>
    <w:p>
      <w:pPr>
        <w:pStyle w:val="Normal"/>
        <w:bidi w:val="0"/>
        <w:jc w:val="both"/>
        <w:rPr>
          <w:rFonts w:ascii="Arial Narrow" w:hAnsi="Arial Narrow"/>
          <w:sz w:val="18"/>
          <w:u w:val="single"/>
        </w:rPr>
      </w:pPr>
      <w:r>
        <w:rPr>
          <w:rFonts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u w:val="double"/>
        </w:rPr>
      </w:pPr>
      <w:r>
        <w:rPr>
          <w:rFonts w:ascii="Arial Narrow" w:hAnsi="Arial Narrow"/>
          <w:strike/>
          <w:sz w:val="18"/>
        </w:rPr>
        <w:t>This</w:t>
      </w:r>
      <w:r>
        <w:rPr>
          <w:rFonts w:ascii="Arial Narrow" w:hAnsi="Arial Narrow"/>
          <w:sz w:val="18"/>
        </w:rPr>
        <w:t xml:space="preserve"> </w:t>
      </w:r>
      <w:r>
        <w:rPr>
          <w:rFonts w:ascii="Arial Narrow" w:hAnsi="Arial Narrow"/>
          <w:sz w:val="18"/>
          <w:u w:val="double"/>
        </w:rPr>
        <w:t>Pursuant to that certain Gas Settlement and Release Agreement between TBG Cogen Partners (“Customer”) and Enron North America Corp. (“Company”) of even date herewith (the “Release Agreement”), this</w:t>
      </w:r>
      <w:r>
        <w:rPr>
          <w:rFonts w:ascii="Arial Narrow" w:hAnsi="Arial Narrow"/>
          <w:sz w:val="18"/>
        </w:rPr>
        <w:t xml:space="preserve"> Transaction Agreement (this </w:t>
      </w:r>
      <w:r>
        <w:rPr>
          <w:rFonts w:ascii="Arial Narrow" w:hAnsi="Arial Narrow"/>
          <w:strike/>
          <w:sz w:val="18"/>
        </w:rPr>
        <w:t>“Agreement”), together with a</w:t>
      </w:r>
      <w:r>
        <w:rPr>
          <w:rFonts w:ascii="Arial Narrow" w:hAnsi="Arial Narrow"/>
          <w:sz w:val="18"/>
          <w:u w:val="double"/>
        </w:rPr>
        <w:t>“8500/d Transaction Agreement”), and the</w:t>
      </w:r>
      <w:r>
        <w:rPr>
          <w:rFonts w:ascii="Arial Narrow" w:hAnsi="Arial Narrow"/>
          <w:sz w:val="18"/>
        </w:rPr>
        <w:t xml:space="preserve"> second Transaction Agreement of even date herewith</w:t>
      </w:r>
      <w:r>
        <w:rPr>
          <w:rFonts w:ascii="Arial Narrow" w:hAnsi="Arial Narrow"/>
          <w:strike/>
          <w:sz w:val="18"/>
        </w:rPr>
        <w:t xml:space="preserve">, shall replace </w:t>
      </w:r>
      <w:r>
        <w:rPr>
          <w:rFonts w:ascii="Arial Narrow" w:hAnsi="Arial Narrow"/>
          <w:sz w:val="18"/>
        </w:rPr>
        <w:t xml:space="preserve"> </w:t>
      </w:r>
      <w:r>
        <w:rPr>
          <w:rFonts w:ascii="Arial Narrow" w:hAnsi="Arial Narrow"/>
          <w:sz w:val="18"/>
          <w:u w:val="double"/>
        </w:rPr>
        <w:t>(the “4000/d Transaction Agreement”), entirely replace and supersede</w:t>
      </w:r>
      <w:r>
        <w:rPr>
          <w:rFonts w:ascii="Arial Narrow" w:hAnsi="Arial Narrow"/>
          <w:sz w:val="18"/>
        </w:rPr>
        <w:t xml:space="preserve"> that certain Amended and Restated Gas Sales Agreement dated June 30, 1988, as amended by that certain First Amendment to the Amended and Restated Gas Sales Agreement dated December 31, 1991, and that certain Second Amendment to the Amended and Restated Gas Sales Agreement dated as of November 1, 1999, each between </w:t>
      </w:r>
      <w:r>
        <w:rPr>
          <w:rFonts w:ascii="Arial Narrow" w:hAnsi="Arial Narrow"/>
          <w:strike/>
          <w:sz w:val="18"/>
        </w:rPr>
        <w:t>TBG Cogen Partners (“Customer”) and Enron North America Corp. (“Company”)</w:t>
      </w:r>
      <w:r>
        <w:rPr>
          <w:rFonts w:ascii="Arial Narrow" w:hAnsi="Arial Narrow"/>
          <w:sz w:val="18"/>
        </w:rPr>
        <w:t xml:space="preserve"> </w:t>
      </w:r>
      <w:r>
        <w:rPr>
          <w:rFonts w:ascii="Arial Narrow" w:hAnsi="Arial Narrow"/>
          <w:sz w:val="18"/>
          <w:u w:val="double"/>
        </w:rPr>
        <w:t>Customer and Company</w:t>
      </w:r>
      <w:r>
        <w:rPr>
          <w:rFonts w:ascii="Arial Narrow" w:hAnsi="Arial Narrow"/>
          <w:sz w:val="18"/>
        </w:rPr>
        <w:t xml:space="preserve"> (the amended and restated gas sales agreement and amendments, collectively, the “</w:t>
      </w:r>
      <w:r>
        <w:rPr>
          <w:rFonts w:ascii="Arial Narrow" w:hAnsi="Arial Narrow"/>
          <w:sz w:val="18"/>
          <w:u w:val="single"/>
        </w:rPr>
        <w:t>Gas Contract</w:t>
      </w:r>
      <w:r>
        <w:rPr>
          <w:rFonts w:ascii="Arial Narrow" w:hAnsi="Arial Narrow"/>
          <w:sz w:val="18"/>
        </w:rPr>
        <w:t>”)</w:t>
      </w:r>
      <w:r>
        <w:rPr>
          <w:rFonts w:ascii="Arial Narrow" w:hAnsi="Arial Narrow"/>
          <w:strike/>
          <w:sz w:val="18"/>
        </w:rPr>
        <w:t>. The Gas Contract is hereby replaced in its entirety</w:t>
      </w:r>
      <w:r>
        <w:rPr>
          <w:rFonts w:ascii="Arial Narrow" w:hAnsi="Arial Narrow"/>
          <w:sz w:val="18"/>
        </w:rPr>
        <w:t>, effective as of November 1, 2001</w:t>
      </w:r>
      <w:r>
        <w:rPr>
          <w:rFonts w:ascii="Arial Narrow" w:hAnsi="Arial Narrow"/>
          <w:strike/>
          <w:sz w:val="18"/>
        </w:rPr>
        <w:t>, by Customer and Company by (a) the incorporation herein of that certain Enfolio Master Firm Purchase /Sale</w:t>
      </w:r>
      <w:r>
        <w:rPr>
          <w:rFonts w:ascii="Arial Narrow" w:hAnsi="Arial Narrow"/>
          <w:sz w:val="18"/>
          <w:u w:val="double"/>
        </w:rPr>
        <w:t>.    This 8500/d Transaction Agreement shall be governed in all respects as herein set forth by: (a) that certain ENFOLIO® Master Firm Purchase/Sale</w:t>
      </w:r>
      <w:r>
        <w:rPr>
          <w:rFonts w:ascii="Arial Narrow" w:hAnsi="Arial Narrow"/>
          <w:sz w:val="18"/>
        </w:rPr>
        <w:t xml:space="preserve"> Agreement between Customer and Company dated </w:t>
      </w:r>
      <w:r>
        <w:rPr>
          <w:rFonts w:ascii="Arial Narrow" w:hAnsi="Arial Narrow"/>
          <w:strike/>
          <w:sz w:val="18"/>
        </w:rPr>
        <w:t>October 1</w:t>
      </w:r>
      <w:r>
        <w:rPr>
          <w:rFonts w:ascii="Arial Narrow" w:hAnsi="Arial Narrow"/>
          <w:sz w:val="18"/>
        </w:rPr>
        <w:t xml:space="preserve"> </w:t>
      </w:r>
      <w:r>
        <w:rPr>
          <w:rFonts w:ascii="Arial Narrow" w:hAnsi="Arial Narrow"/>
          <w:sz w:val="18"/>
          <w:u w:val="double"/>
        </w:rPr>
        <w:t>November 1</w:t>
      </w:r>
      <w:r>
        <w:rPr>
          <w:rFonts w:ascii="Arial Narrow" w:hAnsi="Arial Narrow"/>
          <w:sz w:val="18"/>
        </w:rPr>
        <w:t>, 2001 (the “</w:t>
      </w:r>
      <w:r>
        <w:rPr>
          <w:rFonts w:ascii="Arial Narrow" w:hAnsi="Arial Narrow"/>
          <w:sz w:val="18"/>
          <w:u w:val="single"/>
        </w:rPr>
        <w:t>Master Agreement</w:t>
      </w:r>
      <w:r>
        <w:rPr>
          <w:rFonts w:ascii="Arial Narrow" w:hAnsi="Arial Narrow"/>
          <w:sz w:val="18"/>
        </w:rPr>
        <w:t xml:space="preserve">”) </w:t>
      </w:r>
      <w:r>
        <w:rPr>
          <w:rFonts w:ascii="Arial Narrow" w:hAnsi="Arial Narrow"/>
          <w:strike/>
          <w:sz w:val="18"/>
        </w:rPr>
        <w:t>which shall govern the Transaction evidenced by this Agreement in all respects as herein set forth</w:t>
      </w:r>
      <w:r>
        <w:rPr>
          <w:rFonts w:ascii="Arial Narrow" w:hAnsi="Arial Narrow"/>
          <w:sz w:val="18"/>
          <w:u w:val="double"/>
        </w:rPr>
        <w:t>, incorporated herein in its entirety,</w:t>
      </w:r>
      <w:r>
        <w:rPr>
          <w:rFonts w:ascii="Arial Narrow" w:hAnsi="Arial Narrow"/>
          <w:sz w:val="18"/>
        </w:rPr>
        <w:t xml:space="preserve"> and (b) the following terms and conditions comprising </w:t>
      </w:r>
      <w:r>
        <w:rPr>
          <w:rFonts w:ascii="Arial Narrow" w:hAnsi="Arial Narrow"/>
          <w:strike/>
          <w:sz w:val="18"/>
        </w:rPr>
        <w:t>the Transaction together with a second Transaction Agreement of even date herewith. Customer to</w:t>
      </w:r>
      <w:r>
        <w:rPr>
          <w:rFonts w:ascii="Arial Narrow" w:hAnsi="Arial Narrow"/>
          <w:sz w:val="18"/>
        </w:rPr>
        <w:t xml:space="preserve"> </w:t>
      </w:r>
      <w:r>
        <w:rPr>
          <w:rFonts w:ascii="Arial Narrow" w:hAnsi="Arial Narrow"/>
          <w:sz w:val="18"/>
          <w:u w:val="double"/>
        </w:rPr>
        <w:t>this transaction: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u w:val="double"/>
        </w:rPr>
      </w:pPr>
      <w:r>
        <w:rPr>
          <w:rFonts w:ascii="Arial Narrow" w:hAnsi="Arial Narrow"/>
          <w:sz w:val="18"/>
          <w:u w:val="double"/>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u w:val="double"/>
        </w:rPr>
        <w:t>BUYER/SELLER:</w:t>
      </w:r>
      <w:r>
        <w:rPr>
          <w:rFonts w:ascii="Arial Narrow" w:hAnsi="Arial Narrow"/>
          <w:sz w:val="18"/>
        </w:rPr>
        <w:tab/>
      </w:r>
      <w:r>
        <w:rPr>
          <w:rFonts w:ascii="Arial Narrow" w:hAnsi="Arial Narrow"/>
          <w:sz w:val="18"/>
          <w:u w:val="double"/>
        </w:rPr>
        <w:t>Customer (“Buyer”) shall</w:t>
      </w:r>
      <w:r>
        <w:rPr>
          <w:rFonts w:ascii="Arial Narrow" w:hAnsi="Arial Narrow"/>
          <w:sz w:val="18"/>
        </w:rPr>
        <w:t xml:space="preserve"> purchase and receive</w:t>
      </w:r>
      <w:r>
        <w:rPr>
          <w:rFonts w:ascii="Arial Narrow" w:hAnsi="Arial Narrow"/>
          <w:strike/>
          <w:sz w:val="18"/>
        </w:rPr>
        <w:t>(“Buyer”)</w:t>
      </w:r>
      <w:r>
        <w:rPr>
          <w:rFonts w:ascii="Arial Narrow" w:hAnsi="Arial Narrow"/>
          <w:sz w:val="18"/>
          <w:u w:val="double"/>
        </w:rPr>
        <w:t>,</w:t>
      </w:r>
      <w:r>
        <w:rPr>
          <w:rFonts w:ascii="Arial Narrow" w:hAnsi="Arial Narrow"/>
          <w:sz w:val="18"/>
        </w:rPr>
        <w:t xml:space="preserve"> and Company </w:t>
      </w:r>
      <w:r>
        <w:rPr>
          <w:rFonts w:ascii="Arial Narrow" w:hAnsi="Arial Narrow"/>
          <w:strike/>
          <w:sz w:val="18"/>
        </w:rPr>
        <w:t>to</w:t>
      </w:r>
      <w:r>
        <w:rPr>
          <w:rFonts w:ascii="Arial Narrow" w:hAnsi="Arial Narrow"/>
          <w:sz w:val="18"/>
          <w:u w:val="double"/>
        </w:rPr>
        <w:t>(“Seller”) shall</w:t>
      </w:r>
      <w:r>
        <w:rPr>
          <w:rFonts w:ascii="Arial Narrow" w:hAnsi="Arial Narrow"/>
          <w:sz w:val="18"/>
        </w:rPr>
        <w:t xml:space="preserve"> sell and deliver</w:t>
      </w:r>
      <w:r>
        <w:rPr>
          <w:rFonts w:ascii="Arial Narrow" w:hAnsi="Arial Narrow"/>
          <w:strike/>
          <w:sz w:val="18"/>
        </w:rPr>
        <w:t>(“Seller”)</w:t>
      </w:r>
      <w:r>
        <w:rPr>
          <w:rFonts w:ascii="Arial Narrow" w:hAnsi="Arial Narrow"/>
          <w:sz w:val="18"/>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DCQ:</w:t>
        <w:tab/>
        <w:t>8500 MMBtu/Day</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bidi w:val="0"/>
        <w:ind w:hanging="5580" w:start="5580"/>
        <w:jc w:val="both"/>
        <w:rPr>
          <w:rFonts w:ascii="Arial Narrow" w:hAnsi="Arial Narrow"/>
          <w:sz w:val="18"/>
        </w:rPr>
      </w:pPr>
      <w:r>
        <w:rPr>
          <w:rFonts w:ascii="Arial Narrow" w:hAnsi="Arial Narrow"/>
          <w:sz w:val="18"/>
        </w:rPr>
        <w:t>PERIOD OF DELIVERY:</w:t>
        <w:tab/>
        <w:t>November 1, 2001 through September 30, 2004.</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u w:val="single"/>
        </w:rPr>
      </w:pPr>
      <w:r>
        <w:rPr>
          <w:rFonts w:ascii="Arial Narrow" w:hAnsi="Arial Narrow"/>
          <w:sz w:val="18"/>
        </w:rPr>
        <w:t>DELIVERY POINT(S):</w:t>
        <w:tab/>
        <w:t>See Exhibit A</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CONTRACT PRICE (per MMBtu):</w:t>
        <w:tab/>
      </w:r>
      <w:r>
        <w:rPr>
          <w:rFonts w:ascii="Arial Narrow" w:hAnsi="Arial Narrow"/>
          <w:strike/>
          <w:sz w:val="18"/>
        </w:rPr>
        <w:t>[TO BE DETERMINED]</w:t>
      </w:r>
      <w:r>
        <w:rPr>
          <w:rFonts w:ascii="Arial Narrow" w:hAnsi="Arial Narrow"/>
          <w:sz w:val="18"/>
        </w:rPr>
        <w:t xml:space="preserve"> </w:t>
      </w:r>
      <w:r>
        <w:rPr>
          <w:rFonts w:ascii="Arial Narrow" w:hAnsi="Arial Narrow"/>
          <w:sz w:val="18"/>
          <w:u w:val="double"/>
        </w:rPr>
        <w:t>Inside FERC Transco Zone 3 (defined in paragraph 4 below) + $0.02/MMBtu</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 xml:space="preserve">SPOT PRICE LOCATION: </w:t>
        <w:tab/>
        <w:t>Louisiana – Onshore South – Transco, Station 65</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OTHER:</w:t>
        <w:tab/>
        <w:t>1.    Seller shall have the right to deliver to any of the Delivery Point(s) listed on Exhibit A</w:t>
      </w:r>
      <w:r>
        <w:rPr>
          <w:rFonts w:ascii="Arial Narrow" w:hAnsi="Arial Narrow"/>
          <w:sz w:val="18"/>
          <w:u w:val="double"/>
        </w:rPr>
        <w:t>,</w:t>
      </w:r>
      <w:r>
        <w:rPr>
          <w:rFonts w:ascii="Arial Narrow" w:hAnsi="Arial Narrow"/>
          <w:sz w:val="18"/>
        </w:rPr>
        <w:t xml:space="preserve"> unless Buyer or Buyer’s Transporter requests that deliveries be made to any of the Zone 3 pooling points on the pipeline facilities of Transcontinental Pipe Line Corporation (“</w:t>
      </w:r>
      <w:r>
        <w:rPr>
          <w:rFonts w:ascii="Arial Narrow" w:hAnsi="Arial Narrow"/>
          <w:sz w:val="18"/>
          <w:u w:val="single"/>
        </w:rPr>
        <w:t>Transco</w:t>
      </w:r>
      <w:r>
        <w:rPr>
          <w:rFonts w:ascii="Arial Narrow" w:hAnsi="Arial Narrow"/>
          <w:sz w:val="18"/>
        </w:rPr>
        <w:t>”) and/or its successor</w:t>
      </w:r>
      <w:r>
        <w:rPr>
          <w:rFonts w:ascii="Arial Narrow" w:hAnsi="Arial Narrow"/>
          <w:sz w:val="18"/>
          <w:u w:val="double"/>
        </w:rPr>
        <w:t>, in which case Seller shall deliver to such Transco point(s).    In no event shall the Delivery Point for gas sold hereunder change more than once in any month.</w:t>
      </w:r>
      <w:r>
        <w:rPr>
          <w:rFonts w:ascii="Arial Narrow" w:hAnsi="Arial Narrow"/>
          <w:strike/>
          <w:sz w:val="18"/>
        </w:rPr>
        <w:t>.</w:t>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rPr>
      </w:pPr>
      <w:r>
        <w:rPr>
          <w:rFonts w:ascii="Arial Narrow" w:hAnsi="Arial Narrow"/>
          <w:sz w:val="18"/>
        </w:rPr>
        <w:tab/>
      </w:r>
      <w:r>
        <w:rPr>
          <w:rFonts w:ascii="Arial Narrow" w:hAnsi="Arial Narrow"/>
          <w:strike/>
          <w:sz w:val="18"/>
        </w:rPr>
        <w:t>2. In the event Gas is delivered to a pooling point that is</w:t>
      </w:r>
      <w:r>
        <w:rPr>
          <w:rFonts w:ascii="Arial Narrow" w:hAnsi="Arial Narrow"/>
          <w:sz w:val="18"/>
        </w:rPr>
        <w:t xml:space="preserve"> </w:t>
      </w:r>
      <w:r>
        <w:rPr>
          <w:rFonts w:ascii="Arial Narrow" w:hAnsi="Arial Narrow"/>
          <w:sz w:val="18"/>
          <w:u w:val="double"/>
        </w:rPr>
        <w:t>2.    The Contract Price for gas Seller delivers to a Delivery Point</w:t>
      </w:r>
      <w:r>
        <w:rPr>
          <w:rFonts w:ascii="Arial Narrow" w:hAnsi="Arial Narrow"/>
          <w:sz w:val="18"/>
        </w:rPr>
        <w:t xml:space="preserve"> downstream of Transco Station 65</w:t>
      </w:r>
      <w:r>
        <w:rPr>
          <w:rFonts w:ascii="Arial Narrow" w:hAnsi="Arial Narrow"/>
          <w:strike/>
          <w:sz w:val="18"/>
        </w:rPr>
        <w:t>, the Contract Price</w:t>
      </w:r>
      <w:r>
        <w:rPr>
          <w:rFonts w:ascii="Arial Narrow" w:hAnsi="Arial Narrow"/>
          <w:sz w:val="18"/>
        </w:rPr>
        <w:t xml:space="preserve"> shall be increased by an amount equal to </w:t>
      </w:r>
      <w:r>
        <w:rPr>
          <w:rFonts w:ascii="Arial Narrow" w:hAnsi="Arial Narrow"/>
          <w:strike/>
          <w:sz w:val="18"/>
        </w:rPr>
        <w:t>Seller’s cost to transport such Gas from Transco Station 65 to the Delivery Point for such Gas (including but not limited to shrinkage). In the event Gas is delivered to a pooling point that is</w:t>
      </w:r>
      <w:r>
        <w:rPr>
          <w:rFonts w:ascii="Arial Narrow" w:hAnsi="Arial Narrow"/>
          <w:sz w:val="18"/>
        </w:rPr>
        <w:t xml:space="preserve"> </w:t>
      </w:r>
      <w:r>
        <w:rPr>
          <w:rFonts w:ascii="Arial Narrow" w:hAnsi="Arial Narrow"/>
          <w:sz w:val="18"/>
          <w:u w:val="double"/>
        </w:rPr>
        <w:t>the basis differential between Transco Station 65 and such Delivery Point.    The Contract Price for gas Seller delivers to a Delivery Point</w:t>
      </w:r>
      <w:r>
        <w:rPr>
          <w:rFonts w:ascii="Arial Narrow" w:hAnsi="Arial Narrow"/>
          <w:sz w:val="18"/>
        </w:rPr>
        <w:t xml:space="preserve"> upstream of Transco Station 65</w:t>
      </w:r>
      <w:r>
        <w:rPr>
          <w:rFonts w:ascii="Arial Narrow" w:hAnsi="Arial Narrow"/>
          <w:strike/>
          <w:sz w:val="18"/>
        </w:rPr>
        <w:t>, the Contract Price</w:t>
      </w:r>
      <w:r>
        <w:rPr>
          <w:rFonts w:ascii="Arial Narrow" w:hAnsi="Arial Narrow"/>
          <w:sz w:val="18"/>
        </w:rPr>
        <w:t xml:space="preserve"> shall be </w:t>
      </w:r>
      <w:r>
        <w:rPr>
          <w:rFonts w:ascii="Arial Narrow" w:hAnsi="Arial Narrow"/>
          <w:strike/>
          <w:sz w:val="18"/>
        </w:rPr>
        <w:t>reduced</w:t>
      </w:r>
      <w:r>
        <w:rPr>
          <w:rFonts w:ascii="Arial Narrow" w:hAnsi="Arial Narrow"/>
          <w:sz w:val="18"/>
        </w:rPr>
        <w:t xml:space="preserve"> </w:t>
      </w:r>
      <w:r>
        <w:rPr>
          <w:rFonts w:ascii="Arial Narrow" w:hAnsi="Arial Narrow"/>
          <w:sz w:val="18"/>
          <w:u w:val="double"/>
        </w:rPr>
        <w:t>decreased</w:t>
      </w:r>
      <w:r>
        <w:rPr>
          <w:rFonts w:ascii="Arial Narrow" w:hAnsi="Arial Narrow"/>
          <w:sz w:val="18"/>
        </w:rPr>
        <w:t xml:space="preserve"> by an amount equal to </w:t>
      </w:r>
      <w:r>
        <w:rPr>
          <w:rFonts w:ascii="Arial Narrow" w:hAnsi="Arial Narrow"/>
          <w:strike/>
          <w:sz w:val="18"/>
        </w:rPr>
        <w:t>Buyer’s cost to transport such Gas from the Delivery Point to Transco Station 65 (including but not limited to shrinkage).</w:t>
      </w:r>
      <w:r>
        <w:rPr>
          <w:rFonts w:ascii="Arial Narrow" w:hAnsi="Arial Narrow"/>
          <w:sz w:val="18"/>
        </w:rPr>
        <w:t xml:space="preserve"> </w:t>
      </w:r>
      <w:r>
        <w:rPr>
          <w:rFonts w:ascii="Arial Narrow" w:hAnsi="Arial Narrow"/>
          <w:sz w:val="18"/>
          <w:u w:val="double"/>
        </w:rPr>
        <w:t>the basis differential between such Delivery Point and Transco Station 65. (The basis differential shall be as published in the Gas Daily Price Guide monthly contract index.)</w:t>
      </w:r>
    </w:p>
    <w:p>
      <w:pPr>
        <w:pStyle w:val="Normal"/>
        <w:tabs>
          <w:tab w:val="clear" w:pos="720"/>
          <w:tab w:val="left" w:pos="8640" w:leader="none"/>
        </w:tabs>
        <w:bidi w:val="0"/>
        <w:jc w:val="both"/>
        <w:rPr>
          <w:rFonts w:ascii="Arial Narrow" w:hAnsi="Arial Narrow"/>
          <w:sz w:val="18"/>
        </w:rPr>
      </w:pPr>
      <w:r>
        <w:rPr>
          <w:rFonts w:ascii="Arial Narrow" w:hAnsi="Arial Narrow"/>
          <w:sz w:val="18"/>
        </w:rPr>
      </w:r>
    </w:p>
    <w:p>
      <w:pPr>
        <w:pStyle w:val="Normal"/>
        <w:tabs>
          <w:tab w:val="clear" w:pos="720"/>
          <w:tab w:val="left" w:pos="8640" w:leader="none"/>
        </w:tabs>
        <w:bidi w:val="0"/>
        <w:ind w:hanging="5580" w:start="5580"/>
        <w:jc w:val="both"/>
        <w:rPr>
          <w:rFonts w:ascii="Arial Narrow" w:hAnsi="Arial Narrow"/>
          <w:sz w:val="18"/>
          <w:u w:val="double"/>
        </w:rPr>
      </w:pPr>
      <w:r>
        <w:rPr>
          <w:rFonts w:ascii="Arial Narrow" w:hAnsi="Arial Narrow"/>
          <w:sz w:val="18"/>
        </w:rPr>
        <w:tab/>
      </w:r>
      <w:r>
        <w:rPr>
          <w:rFonts w:ascii="Arial Narrow" w:hAnsi="Arial Narrow"/>
          <w:strike/>
          <w:sz w:val="18"/>
        </w:rPr>
        <w:t xml:space="preserve">This </w:t>
      </w:r>
      <w:r>
        <w:rPr>
          <w:rFonts w:ascii="Arial Narrow" w:hAnsi="Arial Narrow"/>
          <w:sz w:val="18"/>
          <w:u w:val="double"/>
        </w:rPr>
        <w:t>3.    Buyer shall have the right to use gas purchased hereunder for any purpose.</w:t>
      </w:r>
    </w:p>
    <w:p>
      <w:pPr>
        <w:pStyle w:val="Normal"/>
        <w:tabs>
          <w:tab w:val="clear" w:pos="720"/>
          <w:tab w:val="left" w:pos="8640" w:leader="none"/>
        </w:tabs>
        <w:bidi w:val="0"/>
        <w:ind w:hanging="5580" w:start="5580"/>
        <w:jc w:val="both"/>
        <w:rPr>
          <w:rFonts w:ascii="Arial Narrow" w:hAnsi="Arial Narrow"/>
          <w:sz w:val="18"/>
          <w:u w:val="double"/>
        </w:rPr>
      </w:pPr>
      <w:r>
        <w:rPr>
          <w:rFonts w:ascii="Arial Narrow" w:hAnsi="Arial Narrow"/>
          <w:sz w:val="18"/>
          <w:u w:val="double"/>
        </w:rPr>
      </w:r>
    </w:p>
    <w:p>
      <w:pPr>
        <w:pStyle w:val="Normal"/>
        <w:tabs>
          <w:tab w:val="clear" w:pos="720"/>
          <w:tab w:val="left" w:pos="8640" w:leader="none"/>
        </w:tabs>
        <w:bidi w:val="0"/>
        <w:ind w:hanging="5580" w:start="5580"/>
        <w:jc w:val="both"/>
        <w:rPr>
          <w:rFonts w:ascii="Arial Narrow" w:hAnsi="Arial Narrow"/>
          <w:sz w:val="18"/>
          <w:u w:val="double"/>
        </w:rPr>
      </w:pPr>
      <w:r>
        <w:rPr>
          <w:rFonts w:ascii="Arial Narrow" w:hAnsi="Arial Narrow"/>
          <w:sz w:val="18"/>
        </w:rPr>
        <w:tab/>
      </w:r>
      <w:r>
        <w:rPr>
          <w:rFonts w:ascii="Arial Narrow" w:hAnsi="Arial Narrow"/>
          <w:sz w:val="18"/>
          <w:u w:val="double"/>
        </w:rPr>
        <w:t>4.    "Inside FERC Transco Zone 3" means the index price set forth in the first issue published in a month of Inside FERC's Gas Market Report, expressed as "per MMBtu dry," in the table "Prices of Spot Gas Delivered to Pipelines" for deliveries on Transco, Zone 3 (pooling points).</w:t>
      </w:r>
    </w:p>
    <w:p>
      <w:pPr>
        <w:pStyle w:val="Normal"/>
        <w:tabs>
          <w:tab w:val="clear" w:pos="720"/>
          <w:tab w:val="left" w:pos="8640" w:leader="none"/>
        </w:tabs>
        <w:bidi w:val="0"/>
        <w:ind w:hanging="5580" w:start="5580"/>
        <w:jc w:val="both"/>
        <w:rPr>
          <w:rFonts w:ascii="Arial Narrow" w:hAnsi="Arial Narrow"/>
          <w:sz w:val="18"/>
          <w:u w:val="double"/>
        </w:rPr>
      </w:pPr>
      <w:r>
        <w:rPr>
          <w:rFonts w:ascii="Arial Narrow" w:hAnsi="Arial Narrow"/>
          <w:sz w:val="18"/>
          <w:u w:val="doub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u w:val="double"/>
        </w:rPr>
        <w:t>This 8500/d</w:t>
      </w:r>
      <w:r>
        <w:rPr>
          <w:rFonts w:ascii="Arial Narrow" w:hAnsi="Arial Narrow"/>
          <w:sz w:val="18"/>
        </w:rPr>
        <w:t xml:space="preserve"> Transaction Agreement is being provided pursuant to and in accordance with </w:t>
      </w:r>
      <w:r>
        <w:rPr>
          <w:rFonts w:ascii="Arial Narrow" w:hAnsi="Arial Narrow"/>
          <w:strike/>
          <w:sz w:val="18"/>
        </w:rPr>
        <w:t>the ENFOLIO</w:t>
      </w:r>
      <w:r>
        <w:rPr>
          <w:rFonts w:ascii="Arial Narrow" w:hAnsi="Arial Narrow"/>
          <w:sz w:val="18"/>
        </w:rPr>
        <w:t xml:space="preserve"> </w:t>
      </w:r>
      <w:r>
        <w:rPr>
          <w:rFonts w:ascii="Arial Narrow" w:hAnsi="Arial Narrow"/>
          <w:sz w:val="18"/>
          <w:u w:val="double"/>
        </w:rPr>
        <w:t>and shall be governed by the ENFOLIO®</w:t>
      </w:r>
      <w:r>
        <w:rPr>
          <w:rFonts w:ascii="Arial Narrow" w:hAnsi="Arial Narrow"/>
          <w:sz w:val="18"/>
        </w:rPr>
        <w:t xml:space="preserve"> Master Firm Purchase/Sale Agreement in effect between Customer and Company </w:t>
      </w:r>
      <w:r>
        <w:rPr>
          <w:rFonts w:ascii="Arial Narrow" w:hAnsi="Arial Narrow"/>
          <w:sz w:val="18"/>
          <w:u w:val="double"/>
        </w:rPr>
        <w:t>dated November 1, 2001</w:t>
      </w:r>
      <w:r>
        <w:rPr>
          <w:rFonts w:ascii="Arial Narrow" w:hAnsi="Arial Narrow"/>
          <w:sz w:val="18"/>
        </w:rPr>
        <w:t xml:space="preserve"> and constitutes part of and is subject to all of the terms and provisions of such </w:t>
      </w:r>
      <w:r>
        <w:rPr>
          <w:rFonts w:ascii="Arial Narrow" w:hAnsi="Arial Narrow"/>
          <w:strike/>
          <w:sz w:val="18"/>
        </w:rPr>
        <w:t>Agreement</w:t>
      </w:r>
      <w:r>
        <w:rPr>
          <w:rFonts w:ascii="Arial Narrow" w:hAnsi="Arial Narrow"/>
          <w:sz w:val="18"/>
        </w:rPr>
        <w:t xml:space="preserve"> </w:t>
      </w:r>
      <w:r>
        <w:rPr>
          <w:rFonts w:ascii="Arial Narrow" w:hAnsi="Arial Narrow"/>
          <w:sz w:val="18"/>
          <w:u w:val="double"/>
        </w:rPr>
        <w:t>ENFOLIO® agreement</w:t>
      </w:r>
      <w:r>
        <w:rPr>
          <w:rFonts w:ascii="Arial Narrow" w:hAnsi="Arial Narrow"/>
          <w:sz w:val="18"/>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t xml:space="preserve">Please execute this Transaction Agreement and return an executed copy to Company. </w:t>
      </w:r>
      <w:r>
        <w:rPr>
          <w:rFonts w:ascii="Arial Narrow" w:hAnsi="Arial Narrow"/>
          <w:strike/>
          <w:sz w:val="18"/>
        </w:rPr>
        <w:t>Your execution should reflect the appropriate party in your organization who has the authority to cause Customer to enter into this Transaction.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rFonts w:ascii="Arial Narrow" w:hAnsi="Arial Narrow"/>
          <w:sz w:val="18"/>
        </w:rPr>
      </w:pPr>
      <w:r>
        <w:rPr>
          <w:rFonts w:ascii="Arial Narrow" w:hAnsi="Arial Narrow"/>
          <w:sz w:val="18"/>
        </w:rPr>
        <w:t xml:space="preserve"> </w:t>
      </w:r>
    </w:p>
    <w:p>
      <w:pPr>
        <w:pStyle w:val="Normal"/>
        <w:bidi w:val="0"/>
        <w:jc w:val="start"/>
        <w:rPr>
          <w:rFonts w:ascii="Arial Narrow" w:hAnsi="Arial Narrow"/>
          <w:b/>
          <w:sz w:val="18"/>
        </w:rPr>
      </w:pPr>
      <w:r>
        <w:rPr>
          <w:rFonts w:ascii="Arial Narrow" w:hAnsi="Arial Narrow"/>
          <w:b/>
          <w:sz w:val="18"/>
        </w:rPr>
      </w:r>
    </w:p>
    <w:p>
      <w:pPr>
        <w:pStyle w:val="Normal"/>
        <w:bidi w:val="0"/>
        <w:jc w:val="start"/>
        <w:rPr>
          <w:rFonts w:ascii="Arial Narrow" w:hAnsi="Arial Narrow"/>
          <w:b/>
          <w:sz w:val="18"/>
        </w:rPr>
      </w:pPr>
      <w:r>
        <w:rPr>
          <w:rFonts w:ascii="Arial Narrow" w:hAnsi="Arial Narrow"/>
          <w:b/>
          <w:sz w:val="18"/>
        </w:rPr>
        <w:t>TBG COGEN PARTNERS</w:t>
        <w:tab/>
        <w:tab/>
        <w:tab/>
        <w:tab/>
        <w:tab/>
        <w:tab/>
        <w:tab/>
        <w:t>ENRON    NORTH    AMERICA    CORP.</w:t>
      </w:r>
    </w:p>
    <w:p>
      <w:pPr>
        <w:pStyle w:val="Normal"/>
        <w:bidi w:val="0"/>
        <w:jc w:val="start"/>
        <w:rPr>
          <w:rFonts w:ascii="Arial Narrow" w:hAnsi="Arial Narrow"/>
          <w:b/>
          <w:sz w:val="18"/>
        </w:rPr>
      </w:pPr>
      <w:r>
        <w:rPr>
          <w:rFonts w:ascii="Arial Narrow" w:hAnsi="Arial Narrow"/>
          <w:b/>
          <w:sz w:val="18"/>
        </w:rPr>
      </w:r>
    </w:p>
    <w:p>
      <w:pPr>
        <w:pStyle w:val="Normal"/>
        <w:bidi w:val="0"/>
        <w:jc w:val="start"/>
        <w:rPr>
          <w:rFonts w:ascii="Arial Narrow" w:hAnsi="Arial Narrow"/>
          <w:sz w:val="18"/>
          <w:u w:val="double"/>
        </w:rPr>
      </w:pPr>
      <w:r>
        <w:rPr>
          <w:rFonts w:ascii="Arial Narrow" w:hAnsi="Arial Narrow"/>
          <w:sz w:val="18"/>
          <w:u w:val="double"/>
        </w:rPr>
        <w:t>By:</w:t>
      </w:r>
      <w:r>
        <w:rPr>
          <w:rFonts w:ascii="Arial Narrow" w:hAnsi="Arial Narrow"/>
          <w:sz w:val="18"/>
        </w:rPr>
        <w:tab/>
      </w:r>
      <w:r>
        <w:rPr>
          <w:rFonts w:ascii="Arial Narrow" w:hAnsi="Arial Narrow"/>
          <w:sz w:val="18"/>
          <w:u w:val="double"/>
        </w:rPr>
        <w:t>Bethpage Cogeneration Limited Partnership, L.P.,</w:t>
      </w:r>
    </w:p>
    <w:p>
      <w:pPr>
        <w:pStyle w:val="Normal"/>
        <w:bidi w:val="0"/>
        <w:jc w:val="start"/>
        <w:rPr>
          <w:rFonts w:ascii="Arial Narrow" w:hAnsi="Arial Narrow"/>
          <w:sz w:val="18"/>
          <w:u w:val="double"/>
        </w:rPr>
      </w:pPr>
      <w:r>
        <w:rPr>
          <w:rFonts w:ascii="Arial Narrow" w:hAnsi="Arial Narrow"/>
          <w:sz w:val="18"/>
        </w:rPr>
        <w:tab/>
      </w:r>
      <w:r>
        <w:rPr>
          <w:rFonts w:ascii="Arial Narrow" w:hAnsi="Arial Narrow"/>
          <w:sz w:val="18"/>
          <w:u w:val="double"/>
        </w:rPr>
        <w:t>a general partner</w:t>
      </w:r>
    </w:p>
    <w:p>
      <w:pPr>
        <w:pStyle w:val="Normal"/>
        <w:bidi w:val="0"/>
        <w:jc w:val="start"/>
        <w:rPr>
          <w:rFonts w:ascii="Arial Narrow" w:hAnsi="Arial Narrow"/>
          <w:sz w:val="18"/>
          <w:u w:val="double"/>
        </w:rPr>
      </w:pPr>
      <w:r>
        <w:rPr>
          <w:rFonts w:ascii="Arial Narrow" w:hAnsi="Arial Narrow"/>
          <w:sz w:val="18"/>
        </w:rPr>
        <w:tab/>
      </w:r>
      <w:r>
        <w:rPr>
          <w:rFonts w:ascii="Arial Narrow" w:hAnsi="Arial Narrow"/>
          <w:sz w:val="18"/>
          <w:u w:val="double"/>
        </w:rPr>
        <w:t>By:</w:t>
      </w:r>
      <w:r>
        <w:rPr>
          <w:rFonts w:ascii="Arial Narrow" w:hAnsi="Arial Narrow"/>
          <w:sz w:val="18"/>
        </w:rPr>
        <w:tab/>
      </w:r>
      <w:r>
        <w:rPr>
          <w:rFonts w:ascii="Arial Narrow" w:hAnsi="Arial Narrow"/>
          <w:sz w:val="18"/>
          <w:u w:val="double"/>
        </w:rPr>
        <w:t>SMO Bethpage, Inc.</w:t>
      </w:r>
    </w:p>
    <w:p>
      <w:pPr>
        <w:pStyle w:val="Normal"/>
        <w:bidi w:val="0"/>
        <w:jc w:val="start"/>
        <w:rPr>
          <w:rFonts w:ascii="Arial Narrow" w:hAnsi="Arial Narrow"/>
          <w:sz w:val="18"/>
        </w:rPr>
      </w:pPr>
      <w:r>
        <w:rPr>
          <w:rFonts w:ascii="Arial Narrow" w:hAnsi="Arial Narrow"/>
          <w:sz w:val="18"/>
        </w:rPr>
        <w:tab/>
        <w:tab/>
      </w:r>
      <w:r>
        <w:rPr>
          <w:rFonts w:ascii="Arial Narrow" w:hAnsi="Arial Narrow"/>
          <w:sz w:val="18"/>
          <w:u w:val="double"/>
        </w:rPr>
        <w:t>a general partner</w:t>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______________________________________________________</w:t>
        <w:tab/>
        <w:tab/>
        <w:tab/>
        <w:t xml:space="preserve"> ____________________________________________________</w:t>
      </w:r>
    </w:p>
    <w:p>
      <w:pPr>
        <w:pStyle w:val="Normal"/>
        <w:bidi w:val="0"/>
        <w:ind w:hanging="0" w:start="1584"/>
        <w:jc w:val="start"/>
        <w:rPr>
          <w:rFonts w:ascii="Arial Narrow" w:hAnsi="Arial Narrow"/>
          <w:sz w:val="18"/>
        </w:rPr>
      </w:pPr>
      <w:r>
        <w:rPr>
          <w:rFonts w:ascii="Arial Narrow" w:hAnsi="Arial Narrow"/>
          <w:sz w:val="18"/>
        </w:rPr>
        <w:t>SIGNATURE</w:t>
        <w:tab/>
        <w:tab/>
        <w:tab/>
        <w:tab/>
        <w:tab/>
        <w:tab/>
        <w:tab/>
        <w:tab/>
        <w:t>SIGNATURE</w:t>
        <w:tab/>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Printed</w:t>
        <w:tab/>
        <w:tab/>
        <w:tab/>
        <w:tab/>
        <w:tab/>
        <w:tab/>
        <w:tab/>
        <w:tab/>
        <w:tab/>
        <w:t>Printed</w:t>
      </w:r>
    </w:p>
    <w:p>
      <w:pPr>
        <w:pStyle w:val="Normal"/>
        <w:bidi w:val="0"/>
        <w:jc w:val="start"/>
        <w:rPr>
          <w:rFonts w:ascii="Arial Narrow" w:hAnsi="Arial Narrow"/>
          <w:sz w:val="18"/>
        </w:rPr>
      </w:pPr>
      <w:r>
        <w:rPr>
          <w:rFonts w:ascii="Arial Narrow" w:hAnsi="Arial Narrow"/>
          <w:sz w:val="18"/>
        </w:rPr>
        <w:t>Name _________________________________________________</w:t>
        <w:tab/>
        <w:tab/>
        <w:tab/>
        <w:t>Name _______________________________________________</w:t>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Title___________________________________________________</w:t>
        <w:tab/>
        <w:tab/>
        <w:tab/>
        <w:t>Title_________________________________________________</w:t>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u w:val="double"/>
        </w:rPr>
      </w:pPr>
      <w:r>
        <w:rPr>
          <w:rFonts w:ascii="Arial Narrow" w:hAnsi="Arial Narrow"/>
          <w:sz w:val="18"/>
          <w:u w:val="double"/>
        </w:rPr>
        <w:t>By:</w:t>
      </w:r>
      <w:r>
        <w:rPr>
          <w:rFonts w:ascii="Arial Narrow" w:hAnsi="Arial Narrow"/>
          <w:sz w:val="18"/>
        </w:rPr>
        <w:tab/>
      </w:r>
      <w:r>
        <w:rPr>
          <w:rFonts w:ascii="Arial Narrow" w:hAnsi="Arial Narrow"/>
          <w:sz w:val="18"/>
          <w:u w:val="double"/>
        </w:rPr>
        <w:t>GEC Bethpage Inc.,</w:t>
      </w:r>
    </w:p>
    <w:p>
      <w:pPr>
        <w:pStyle w:val="Normal"/>
        <w:bidi w:val="0"/>
        <w:jc w:val="start"/>
        <w:rPr>
          <w:rFonts w:ascii="Arial Narrow" w:hAnsi="Arial Narrow"/>
          <w:sz w:val="18"/>
          <w:u w:val="double"/>
        </w:rPr>
      </w:pPr>
      <w:r>
        <w:rPr>
          <w:rFonts w:ascii="Arial Narrow" w:hAnsi="Arial Narrow"/>
          <w:sz w:val="18"/>
        </w:rPr>
        <w:tab/>
      </w:r>
      <w:r>
        <w:rPr>
          <w:rFonts w:ascii="Arial Narrow" w:hAnsi="Arial Narrow"/>
          <w:sz w:val="18"/>
          <w:u w:val="double"/>
        </w:rPr>
        <w:t>a general partner</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______________________________________________________</w:t>
      </w:r>
    </w:p>
    <w:p>
      <w:pPr>
        <w:pStyle w:val="Normal"/>
        <w:bidi w:val="0"/>
        <w:ind w:hanging="0" w:start="1584"/>
        <w:jc w:val="start"/>
        <w:rPr>
          <w:rFonts w:ascii="Arial Narrow" w:hAnsi="Arial Narrow"/>
          <w:sz w:val="18"/>
          <w:u w:val="double"/>
        </w:rPr>
      </w:pPr>
      <w:r>
        <w:rPr>
          <w:rFonts w:ascii="Arial Narrow" w:hAnsi="Arial Narrow"/>
          <w:sz w:val="18"/>
          <w:u w:val="double"/>
        </w:rPr>
        <w:t>SIGNATURE</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Printed</w:t>
      </w:r>
    </w:p>
    <w:p>
      <w:pPr>
        <w:pStyle w:val="Normal"/>
        <w:bidi w:val="0"/>
        <w:jc w:val="start"/>
        <w:rPr>
          <w:rFonts w:ascii="Arial Narrow" w:hAnsi="Arial Narrow"/>
          <w:sz w:val="18"/>
          <w:u w:val="double"/>
        </w:rPr>
      </w:pPr>
      <w:r>
        <w:rPr>
          <w:rFonts w:ascii="Arial Narrow" w:hAnsi="Arial Narrow"/>
          <w:sz w:val="18"/>
          <w:u w:val="double"/>
        </w:rPr>
        <w:t>Name _________________________________________________</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Title___________________________________________________</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By:</w:t>
      </w:r>
      <w:r>
        <w:rPr>
          <w:rFonts w:ascii="Arial Narrow" w:hAnsi="Arial Narrow"/>
          <w:sz w:val="18"/>
        </w:rPr>
        <w:tab/>
      </w:r>
      <w:r>
        <w:rPr>
          <w:rFonts w:ascii="Arial Narrow" w:hAnsi="Arial Narrow"/>
          <w:sz w:val="18"/>
          <w:u w:val="double"/>
        </w:rPr>
        <w:t>JMC Bethpage, Inc.,</w:t>
      </w:r>
    </w:p>
    <w:p>
      <w:pPr>
        <w:pStyle w:val="Normal"/>
        <w:bidi w:val="0"/>
        <w:jc w:val="start"/>
        <w:rPr>
          <w:rFonts w:ascii="Arial Narrow" w:hAnsi="Arial Narrow"/>
          <w:sz w:val="18"/>
          <w:u w:val="double"/>
        </w:rPr>
      </w:pPr>
      <w:r>
        <w:rPr>
          <w:rFonts w:ascii="Arial Narrow" w:hAnsi="Arial Narrow"/>
          <w:sz w:val="18"/>
        </w:rPr>
        <w:tab/>
      </w:r>
      <w:r>
        <w:rPr>
          <w:rFonts w:ascii="Arial Narrow" w:hAnsi="Arial Narrow"/>
          <w:sz w:val="18"/>
          <w:u w:val="double"/>
        </w:rPr>
        <w:t>a general partner</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______________________________________________________</w:t>
      </w:r>
    </w:p>
    <w:p>
      <w:pPr>
        <w:pStyle w:val="Normal"/>
        <w:bidi w:val="0"/>
        <w:ind w:hanging="0" w:start="1584"/>
        <w:jc w:val="start"/>
        <w:rPr>
          <w:rFonts w:ascii="Arial Narrow" w:hAnsi="Arial Narrow"/>
          <w:sz w:val="18"/>
          <w:u w:val="double"/>
        </w:rPr>
      </w:pPr>
      <w:r>
        <w:rPr>
          <w:rFonts w:ascii="Arial Narrow" w:hAnsi="Arial Narrow"/>
          <w:sz w:val="18"/>
          <w:u w:val="double"/>
        </w:rPr>
        <w:t>SIGNATURE</w:t>
      </w:r>
    </w:p>
    <w:p>
      <w:pPr>
        <w:pStyle w:val="Normal"/>
        <w:bidi w:val="0"/>
        <w:jc w:val="start"/>
        <w:rPr>
          <w:rFonts w:ascii="Arial Narrow" w:hAnsi="Arial Narrow"/>
          <w:sz w:val="18"/>
          <w:u w:val="double"/>
        </w:rPr>
      </w:pPr>
      <w:r>
        <w:rPr>
          <w:rFonts w:ascii="Arial Narrow" w:hAnsi="Arial Narrow"/>
          <w:sz w:val="18"/>
          <w:u w:val="double"/>
        </w:rPr>
      </w:r>
    </w:p>
    <w:p>
      <w:pPr>
        <w:pStyle w:val="Normal"/>
        <w:bidi w:val="0"/>
        <w:jc w:val="start"/>
        <w:rPr>
          <w:rFonts w:ascii="Arial Narrow" w:hAnsi="Arial Narrow"/>
          <w:sz w:val="18"/>
          <w:u w:val="double"/>
        </w:rPr>
      </w:pPr>
      <w:r>
        <w:rPr>
          <w:rFonts w:ascii="Arial Narrow" w:hAnsi="Arial Narrow"/>
          <w:sz w:val="18"/>
          <w:u w:val="double"/>
        </w:rPr>
        <w:t>Printed</w:t>
      </w:r>
    </w:p>
    <w:p>
      <w:pPr>
        <w:pStyle w:val="Normal"/>
        <w:bidi w:val="0"/>
        <w:jc w:val="start"/>
        <w:rPr>
          <w:rFonts w:ascii="Arial Narrow" w:hAnsi="Arial Narrow"/>
          <w:sz w:val="18"/>
          <w:u w:val="double"/>
        </w:rPr>
      </w:pPr>
      <w:r>
        <w:rPr>
          <w:rFonts w:ascii="Arial Narrow" w:hAnsi="Arial Narrow"/>
          <w:sz w:val="18"/>
          <w:u w:val="double"/>
        </w:rPr>
        <w:t>Name _________________________________________________</w:t>
      </w:r>
    </w:p>
    <w:p>
      <w:pPr>
        <w:pStyle w:val="Normal"/>
        <w:bidi w:val="0"/>
        <w:jc w:val="start"/>
        <w:rPr>
          <w:rFonts w:ascii="Arial Narrow" w:hAnsi="Arial Narrow"/>
          <w:sz w:val="18"/>
          <w:u w:val="double"/>
        </w:rPr>
      </w:pPr>
      <w:r>
        <w:rPr>
          <w:rFonts w:ascii="Arial Narrow" w:hAnsi="Arial Narrow"/>
          <w:sz w:val="18"/>
          <w:u w:val="double"/>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777" w:footer="720" w:bottom="777"/>
          <w:pgNumType w:start="1" w:fmt="decimal"/>
          <w:formProt w:val="false"/>
          <w:titlePg/>
          <w:textDirection w:val="lrTb"/>
          <w:docGrid w:type="default" w:linePitch="100" w:charSpace="0"/>
        </w:sectPr>
        <w:pStyle w:val="Normal"/>
        <w:bidi w:val="0"/>
        <w:jc w:val="start"/>
        <w:rPr>
          <w:rFonts w:ascii="Arial Narrow" w:hAnsi="Arial Narrow"/>
          <w:sz w:val="18"/>
        </w:rPr>
      </w:pPr>
      <w:r>
        <w:rPr>
          <w:rFonts w:ascii="Arial Narrow" w:hAnsi="Arial Narrow"/>
          <w:sz w:val="18"/>
          <w:u w:val="double"/>
        </w:rPr>
        <w:t>Title___________________________________________________</w:t>
      </w:r>
    </w:p>
    <w:p>
      <w:pPr>
        <w:pStyle w:val="Normal"/>
        <w:bidi w:val="0"/>
        <w:jc w:val="center"/>
        <w:rPr>
          <w:rFonts w:ascii="Arial Narrow" w:hAnsi="Arial Narrow"/>
          <w:sz w:val="18"/>
        </w:rPr>
      </w:pPr>
      <w:r>
        <w:rPr>
          <w:rFonts w:ascii="Arial Narrow" w:hAnsi="Arial Narrow"/>
          <w:sz w:val="18"/>
        </w:rPr>
        <w:t>EXHIBIT A</w:t>
      </w:r>
    </w:p>
    <w:p>
      <w:pPr>
        <w:pStyle w:val="Normal"/>
        <w:bidi w:val="0"/>
        <w:jc w:val="center"/>
        <w:rPr>
          <w:rFonts w:ascii="Arial Narrow" w:hAnsi="Arial Narrow"/>
          <w:sz w:val="18"/>
        </w:rPr>
      </w:pPr>
      <w:r>
        <w:rPr>
          <w:rFonts w:ascii="Arial Narrow" w:hAnsi="Arial Narrow"/>
          <w:sz w:val="18"/>
        </w:rPr>
      </w:r>
    </w:p>
    <w:p>
      <w:pPr>
        <w:pStyle w:val="Normal"/>
        <w:bidi w:val="0"/>
        <w:jc w:val="center"/>
        <w:rPr>
          <w:rFonts w:ascii="Arial Narrow" w:hAnsi="Arial Narrow"/>
          <w:sz w:val="18"/>
        </w:rPr>
      </w:pPr>
      <w:r>
        <w:rPr>
          <w:rFonts w:ascii="Arial Narrow" w:hAnsi="Arial Narrow"/>
          <w:sz w:val="18"/>
        </w:rPr>
        <w:t>DELIVERY POINTS</w:t>
      </w:r>
    </w:p>
    <w:p>
      <w:pPr>
        <w:pStyle w:val="Normal"/>
        <w:bidi w:val="0"/>
        <w:jc w:val="center"/>
        <w:rPr>
          <w:rFonts w:ascii="Arial Narrow" w:hAnsi="Arial Narrow"/>
          <w:sz w:val="18"/>
        </w:rPr>
      </w:pPr>
      <w:r>
        <w:rPr>
          <w:rFonts w:ascii="Arial Narrow" w:hAnsi="Arial Narrow"/>
          <w:sz w:val="18"/>
        </w:rPr>
      </w:r>
    </w:p>
    <w:p>
      <w:pPr>
        <w:pStyle w:val="Normal"/>
        <w:bidi w:val="0"/>
        <w:jc w:val="both"/>
        <w:rPr>
          <w:rFonts w:ascii="Arial Narrow" w:hAnsi="Arial Narrow"/>
          <w:sz w:val="18"/>
        </w:rPr>
      </w:pPr>
      <w:r>
        <w:rPr>
          <w:rFonts w:ascii="Arial Narrow" w:hAnsi="Arial Narrow"/>
          <w:sz w:val="18"/>
        </w:rPr>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w:t>
        <w:tab/>
        <w:t>Bammel, Harris County, Texas</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2.</w:t>
        <w:tab/>
        <w:t>Eugene Island 108,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3.</w:t>
        <w:tab/>
        <w:t>Fulshear, Ft. Bend County, Texas</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4.</w:t>
        <w:tab/>
        <w:t>High Island 111(110,138), Offshore Texas</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5.</w:t>
        <w:tab/>
        <w:t>High Island Block A365</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6.</w:t>
        <w:tab/>
        <w:t>High Island Block A370</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7.</w:t>
        <w:tab/>
        <w:t>Ship Shoal Block 72,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8.</w:t>
        <w:tab/>
        <w:t>South Pelto Block 12/13 (8),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9.</w:t>
        <w:tab/>
        <w:t>South Pelto Block 18,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10.</w:t>
        <w:tab/>
        <w:t>South Pelto Block 10/9(SS68),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11.</w:t>
        <w:tab/>
        <w:t>West Cameron Block 110, Offshore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12.</w:t>
        <w:tab/>
        <w:t>Transco/United Gas Pipe Line interconnect, Walthall County, Mississippi (Walthall)</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13.</w:t>
        <w:tab/>
        <w:t>Transco/United Gas Pipe Line interconnect, Pike County, Mississippi (Magnolia)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14.</w:t>
        <w:tab/>
        <w:t>Transco/United Gas Pipe Line interconnect, Pike County Mississippi (Holmesville)</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15.</w:t>
        <w:tab/>
        <w:t>Transco/Columbia Gulf interconnect, Terrebonne Parish,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16.</w:t>
        <w:tab/>
        <w:t>Transco/Florida Gas interconnect, St. Helena Parish, Louisiana</w:t>
      </w:r>
    </w:p>
    <w:p>
      <w:pPr>
        <w:pStyle w:val="Normal"/>
        <w:tabs>
          <w:tab w:val="left" w:pos="720" w:leader="none"/>
          <w:tab w:val="left" w:pos="5940" w:leader="none"/>
        </w:tabs>
        <w:bidi w:val="0"/>
        <w:spacing w:before="0" w:after="240"/>
        <w:ind w:hanging="0" w:start="360"/>
        <w:jc w:val="both"/>
        <w:rPr>
          <w:rFonts w:ascii="Arial Narrow" w:hAnsi="Arial Narrow"/>
          <w:sz w:val="18"/>
        </w:rPr>
      </w:pPr>
      <w:r>
        <w:rPr>
          <w:rFonts w:ascii="Arial Narrow" w:hAnsi="Arial Narrow"/>
          <w:sz w:val="18"/>
        </w:rPr>
        <w:t>17.</w:t>
        <w:tab/>
        <w:t>Transco/Mississippi Fuel interconnect, Jefferson and Clarke Counties, Mississippi</w:t>
      </w:r>
    </w:p>
    <w:p>
      <w:pPr>
        <w:pStyle w:val="BodyTextIndent"/>
        <w:bidi w:val="0"/>
        <w:rPr>
          <w:rFonts w:ascii="Arial Narrow" w:hAnsi="Arial Narrow"/>
          <w:strike/>
          <w:sz w:val="18"/>
        </w:rPr>
      </w:pPr>
      <w:r>
        <w:rPr>
          <w:rFonts w:ascii="Arial Narrow" w:hAnsi="Arial Narrow"/>
          <w:strike/>
          <w:sz w:val="18"/>
        </w:rPr>
        <w:t>18. Transco/Bridgeline interconnect, St James Parish, Louisiana</w:t>
      </w:r>
    </w:p>
    <w:p>
      <w:pPr>
        <w:pStyle w:val="BodyTextIndent"/>
        <w:bidi w:val="0"/>
        <w:rPr>
          <w:rFonts w:ascii="Arial Narrow" w:hAnsi="Arial Narrow"/>
          <w:strike/>
          <w:sz w:val="18"/>
        </w:rPr>
      </w:pPr>
      <w:r>
        <w:rPr>
          <w:rFonts w:ascii="Arial Narrow" w:hAnsi="Arial Narrow"/>
          <w:strike/>
          <w:sz w:val="18"/>
        </w:rPr>
        <w:t>19. All Transco pooling points</w:t>
      </w:r>
    </w:p>
    <w:p>
      <w:pPr>
        <w:pStyle w:val="BodyTextIndent"/>
        <w:bidi w:val="0"/>
        <w:rPr>
          <w:rFonts w:ascii="Arial Narrow" w:hAnsi="Arial Narrow"/>
          <w:sz w:val="18"/>
        </w:rPr>
      </w:pPr>
      <w:r>
        <w:rPr>
          <w:rFonts w:ascii="Arial Narrow" w:hAnsi="Arial Narrow"/>
          <w:sz w:val="18"/>
        </w:rPr>
        <w:t xml:space="preserve">or such other point or points mutually agreed upon by Seller and Buyer.    </w:t>
      </w:r>
      <w:r>
        <w:rPr>
          <w:rFonts w:ascii="Arial Narrow" w:hAnsi="Arial Narrow"/>
          <w:strike/>
          <w:sz w:val="18"/>
        </w:rPr>
        <w:t>The</w:t>
      </w:r>
      <w:r>
        <w:rPr>
          <w:rFonts w:ascii="Arial Narrow" w:hAnsi="Arial Narrow"/>
          <w:sz w:val="18"/>
        </w:rPr>
        <w:t xml:space="preserve"> </w:t>
      </w:r>
      <w:r>
        <w:rPr>
          <w:rFonts w:ascii="Arial Narrow" w:hAnsi="Arial Narrow"/>
          <w:sz w:val="18"/>
          <w:u w:val="double"/>
        </w:rPr>
        <w:t>Subject to paragraph 1 of the “OTHER” provisions on the first page of this 8500/d Transaction Agreement, the</w:t>
      </w:r>
      <w:r>
        <w:rPr>
          <w:rFonts w:ascii="Arial Narrow" w:hAnsi="Arial Narrow"/>
          <w:sz w:val="18"/>
        </w:rPr>
        <w:t xml:space="preserve"> determination of the particular Delivery Point for any delivery of gas hereunder shall be made by Seller with the consent of Buyer or Buyer’s Fuel Manager, such consent not to be unreasonably withheld.</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 COMPARISON OF HEADERS ------------------</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-HEADER 1-</w:t>
      </w:r>
    </w:p>
    <w:p>
      <w:pPr>
        <w:pStyle w:val="BodyTextIndent"/>
        <w:bidi w:val="0"/>
        <w:rPr>
          <w:rFonts w:ascii="Arial Narrow" w:hAnsi="Arial Narrow"/>
          <w:sz w:val="18"/>
        </w:rPr>
      </w:pPr>
      <w:r>
        <w:rPr>
          <w:rFonts w:ascii="Arial Narrow" w:hAnsi="Arial Narrow"/>
          <w:sz w:val="18"/>
        </w:rPr>
        <w:t xml:space="preserve">TBG Cogen Partners </w:t>
      </w:r>
    </w:p>
    <w:p>
      <w:pPr>
        <w:pStyle w:val="BodyTextIndent"/>
        <w:bidi w:val="0"/>
        <w:rPr>
          <w:rFonts w:ascii="Arial Narrow" w:hAnsi="Arial Narrow"/>
          <w:sz w:val="18"/>
        </w:rPr>
      </w:pPr>
      <w:r>
        <w:rPr>
          <w:rFonts w:ascii="Arial Narrow" w:hAnsi="Arial Narrow"/>
          <w:strike/>
          <w:sz w:val="18"/>
        </w:rPr>
        <w:t>September 29, 1998</w:t>
      </w:r>
      <w:r>
        <w:rPr>
          <w:rFonts w:ascii="Arial Narrow" w:hAnsi="Arial Narrow"/>
          <w:sz w:val="18"/>
        </w:rPr>
        <w:t xml:space="preserve"> </w:t>
      </w:r>
      <w:r>
        <w:rPr>
          <w:rFonts w:ascii="Arial Narrow" w:hAnsi="Arial Narrow"/>
          <w:sz w:val="18"/>
          <w:u w:val="double"/>
        </w:rPr>
        <w:t>November 1, 2001</w:t>
      </w:r>
    </w:p>
    <w:p>
      <w:pPr>
        <w:pStyle w:val="BodyTextIndent"/>
        <w:bidi w:val="0"/>
        <w:rPr>
          <w:rFonts w:ascii="Arial Narrow" w:hAnsi="Arial Narrow"/>
          <w:sz w:val="18"/>
        </w:rPr>
      </w:pPr>
      <w:r>
        <w:rPr>
          <w:rFonts w:ascii="Arial Narrow" w:hAnsi="Arial Narrow"/>
          <w:sz w:val="18"/>
        </w:rPr>
        <w:t>Page 2</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-HEADER 2-</w:t>
      </w:r>
    </w:p>
    <w:p>
      <w:pPr>
        <w:pStyle w:val="BodyTextIndent"/>
        <w:bidi w:val="0"/>
        <w:rPr>
          <w:rFonts w:ascii="Arial Narrow" w:hAnsi="Arial Narrow"/>
          <w:sz w:val="18"/>
        </w:rPr>
      </w:pPr>
      <w:r>
        <w:rPr>
          <w:rFonts w:ascii="Arial Narrow" w:hAnsi="Arial Narrow"/>
          <w:sz w:val="18"/>
        </w:rPr>
        <w:t>DRAFT</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-HEADER 3-</w:t>
      </w:r>
    </w:p>
    <w:p>
      <w:pPr>
        <w:pStyle w:val="BodyTextIndent"/>
        <w:bidi w:val="0"/>
        <w:rPr>
          <w:rFonts w:ascii="Arial Narrow" w:hAnsi="Arial Narrow"/>
          <w:sz w:val="18"/>
        </w:rPr>
      </w:pPr>
      <w:r>
        <w:rPr>
          <w:rFonts w:ascii="Arial Narrow" w:hAnsi="Arial Narrow"/>
          <w:sz w:val="18"/>
        </w:rPr>
        <w:t>E</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 COMPARISON OF FOOTERS ------------------</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-FOOTER 1-</w:t>
      </w:r>
    </w:p>
    <w:p>
      <w:pPr>
        <w:pStyle w:val="BodyTextIndent"/>
        <w:bidi w:val="0"/>
        <w:rPr>
          <w:rFonts w:ascii="Arial Narrow" w:hAnsi="Arial Narrow"/>
          <w:sz w:val="18"/>
        </w:rPr>
      </w:pPr>
      <w:r>
        <w:rPr>
          <w:rFonts w:ascii="Arial Narrow" w:hAnsi="Arial Narrow"/>
          <w:sz w:val="18"/>
        </w:rPr>
        <w:t>C:\</w:t>
      </w:r>
      <w:r>
        <w:rPr>
          <w:rFonts w:ascii="Arial Narrow" w:hAnsi="Arial Narrow"/>
          <w:strike/>
          <w:sz w:val="18"/>
        </w:rPr>
        <w:t>DOCUMENTS AND SETTINGS\FVICKER\LOCAL SETTINGS\TEMPORARY INTERNET FILES\OLKC\01034 DRAFT TBG TA.DOC</w:t>
      </w:r>
      <w:r>
        <w:rPr>
          <w:rFonts w:ascii="Arial Narrow" w:hAnsi="Arial Narrow"/>
          <w:sz w:val="18"/>
        </w:rPr>
        <w:t xml:space="preserve"> </w:t>
      </w:r>
      <w:r>
        <w:rPr>
          <w:rFonts w:ascii="Arial Narrow" w:hAnsi="Arial Narrow"/>
          <w:sz w:val="18"/>
          <w:u w:val="double"/>
        </w:rPr>
        <w:t>DOCS\00009\00001\ENRON-TBG CONFIRMATION -8500 A DAY V3.DOC</w:t>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r>
    </w:p>
    <w:p>
      <w:pPr>
        <w:pStyle w:val="BodyTextIndent"/>
        <w:bidi w:val="0"/>
        <w:rPr>
          <w:rFonts w:ascii="Arial Narrow" w:hAnsi="Arial Narrow"/>
          <w:sz w:val="18"/>
        </w:rPr>
      </w:pPr>
      <w:r>
        <w:rPr>
          <w:rFonts w:ascii="Arial Narrow" w:hAnsi="Arial Narrow"/>
          <w:sz w:val="18"/>
        </w:rPr>
        <w:t>-FOOTER 2-</w:t>
      </w:r>
    </w:p>
    <w:p>
      <w:pPr>
        <w:pStyle w:val="BodyTextIndent"/>
        <w:bidi w:val="0"/>
        <w:rPr>
          <w:rFonts w:ascii="Arial Narrow" w:hAnsi="Arial Narrow"/>
          <w:sz w:val="18"/>
          <w:u w:val="double"/>
        </w:rPr>
      </w:pPr>
      <w:r>
        <w:rPr>
          <w:rFonts w:ascii="Arial Narrow" w:hAnsi="Arial Narrow"/>
          <w:sz w:val="18"/>
        </w:rPr>
        <w:t>C:\</w:t>
      </w:r>
      <w:r>
        <w:rPr>
          <w:rFonts w:ascii="Arial Narrow" w:hAnsi="Arial Narrow"/>
          <w:strike/>
          <w:sz w:val="18"/>
        </w:rPr>
        <w:t>DOCUMENTS AND SETTINGS\FVICKER\LOCAL SETTINGS\TEMPORARY INTERNET FILES\OLKC\01034 DRAFT</w:t>
      </w:r>
      <w:r>
        <w:rPr>
          <w:rFonts w:ascii="Arial Narrow" w:hAnsi="Arial Narrow"/>
          <w:sz w:val="18"/>
        </w:rPr>
        <w:t xml:space="preserve"> </w:t>
      </w:r>
      <w:r>
        <w:rPr>
          <w:rFonts w:ascii="Arial Narrow" w:hAnsi="Arial Narrow"/>
          <w:sz w:val="18"/>
          <w:u w:val="double"/>
        </w:rPr>
        <w:t>DOCS\00009\00001\ENRON-</w:t>
      </w:r>
      <w:r>
        <w:rPr>
          <w:rFonts w:ascii="Arial Narrow" w:hAnsi="Arial Narrow"/>
          <w:sz w:val="18"/>
        </w:rPr>
        <w:t xml:space="preserve">TBG </w:t>
      </w:r>
      <w:r>
        <w:rPr>
          <w:rFonts w:ascii="Arial Narrow" w:hAnsi="Arial Narrow"/>
          <w:strike/>
          <w:sz w:val="18"/>
        </w:rPr>
        <w:t>TA.DOC</w:t>
      </w:r>
      <w:r>
        <w:rPr>
          <w:rFonts w:ascii="Arial Narrow" w:hAnsi="Arial Narrow"/>
          <w:sz w:val="18"/>
        </w:rPr>
        <w:t xml:space="preserve"> </w:t>
      </w:r>
      <w:r>
        <w:rPr>
          <w:rFonts w:ascii="Arial Narrow" w:hAnsi="Arial Narrow"/>
          <w:sz w:val="18"/>
          <w:u w:val="double"/>
        </w:rPr>
        <w:t>CONFIRMATION -8500 A DAY V3.DOC</w:t>
      </w:r>
    </w:p>
    <w:p>
      <w:pPr>
        <w:pStyle w:val="BodyTextIndent"/>
        <w:bidi w:val="0"/>
        <w:spacing w:before="0" w:after="240"/>
        <w:rPr>
          <w:rFonts w:ascii="Arial Narrow" w:hAnsi="Arial Narrow"/>
          <w:sz w:val="18"/>
        </w:rPr>
      </w:pPr>
      <w:r>
        <w:rPr>
          <w:rFonts w:ascii="Arial Narrow" w:hAnsi="Arial Narrow"/>
          <w:sz w:val="18"/>
          <w:u w:val="double"/>
        </w:rPr>
        <w:t>N</w:t>
      </w:r>
    </w:p>
    <w:sectPr>
      <w:headerReference w:type="even" r:id="rId8"/>
      <w:headerReference w:type="default" r:id="rId9"/>
      <w:headerReference w:type="first" r:id="rId10"/>
      <w:footerReference w:type="default" r:id="rId11"/>
      <w:footerReference w:type="first" r:id="rId12"/>
      <w:type w:val="nextPage"/>
      <w:pgSz w:w="12240" w:h="15840"/>
      <w:pgMar w:left="720" w:right="720" w:gutter="0" w:header="720" w:top="777" w:footer="720" w:bottom="77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/mnt/main-storage/datasets/enron-docs/doc/BLACKLINE__Enron_TBG_Confirmation__8500_a_day_1_3.doc</w:t>
    </w:r>
    <w:r>
      <w:rPr>
        <w:sz w:val="12"/>
      </w:rPr>
      <w:fldChar w:fldCharType="end"/>
    </w:r>
  </w:p>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/mnt/main-storage/datasets/enron-docs/doc/BLACKLINE__Enron_TBG_Confirmation__8500_a_day_1_3.doc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/mnt/main-storage/datasets/enron-docs/doc/BLACKLINE__Enron_TBG_Confirmation__8500_a_day_1_3.doc</w:t>
    </w:r>
    <w:r>
      <w:rPr>
        <w:sz w:val="12"/>
      </w:rPr>
      <w:fldChar w:fldCharType="end"/>
    </w:r>
  </w:p>
  <w:p>
    <w:pPr>
      <w:pStyle w:val="Footer"/>
      <w:bidi w:val="0"/>
      <w:jc w:val="start"/>
      <w:rPr>
        <w:rFonts w:ascii="Times New Roman" w:hAnsi="Times New Roman"/>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/mnt/main-storage/datasets/enron-docs/doc/BLACKLINE__Enron_TBG_Confirmation__8500_a_day_1_3.doc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Style w:val="PageNumber"/>
        <w:rFonts w:ascii="Arial Narrow" w:hAnsi="Arial Narrow"/>
        <w:sz w:val="18"/>
      </w:rPr>
    </w:pPr>
    <w:r>
      <w:rPr>
        <w:rStyle w:val="PageNumber"/>
        <w:rFonts w:ascii="Arial Narrow" w:hAnsi="Arial Narrow"/>
        <w:sz w:val="18"/>
      </w:rPr>
      <w:t xml:space="preserve">TBG Cogen Partners </w:t>
    </w:r>
  </w:p>
  <w:p>
    <w:pPr>
      <w:pStyle w:val="Header"/>
      <w:bidi w:val="0"/>
      <w:jc w:val="start"/>
      <w:rPr>
        <w:rStyle w:val="PageNumber"/>
        <w:rFonts w:ascii="Arial Narrow" w:hAnsi="Arial Narrow"/>
        <w:sz w:val="18"/>
      </w:rPr>
    </w:pPr>
    <w:r>
      <w:rPr>
        <w:rStyle w:val="PageNumber"/>
        <w:rFonts w:ascii="Arial Narrow" w:hAnsi="Arial Narrow"/>
        <w:sz w:val="18"/>
      </w:rPr>
      <w:t>November 1, 2001</w:t>
    </w:r>
  </w:p>
  <w:p>
    <w:pPr>
      <w:pStyle w:val="Header"/>
      <w:bidi w:val="0"/>
      <w:jc w:val="start"/>
      <w:rPr>
        <w:rStyle w:val="PageNumber"/>
        <w:rFonts w:ascii="Arial Narrow" w:hAnsi="Arial Narrow"/>
        <w:sz w:val="18"/>
      </w:rPr>
    </w:pPr>
    <w:r>
      <w:rPr>
        <w:rStyle w:val="PageNumber"/>
        <w:rFonts w:ascii="Arial Narrow" w:hAnsi="Arial Narrow"/>
        <w:sz w:val="18"/>
      </w:rPr>
      <w:t xml:space="preserve">Page </w:t>
    </w:r>
    <w:r>
      <w:rPr>
        <w:rStyle w:val="PageNumber"/>
        <w:rFonts w:ascii="Arial Narrow" w:hAnsi="Arial Narrow"/>
        <w:sz w:val="18"/>
      </w:rPr>
      <w:fldChar w:fldCharType="begin"/>
    </w:r>
    <w:r>
      <w:rPr>
        <w:rStyle w:val="PageNumber"/>
        <w:sz w:val="18"/>
        <w:rFonts w:ascii="Arial Narrow" w:hAnsi="Arial Narrow"/>
      </w:rPr>
      <w:instrText xml:space="preserve"> PAGE </w:instrText>
    </w:r>
    <w:r>
      <w:rPr>
        <w:rStyle w:val="PageNumber"/>
        <w:sz w:val="18"/>
        <w:rFonts w:ascii="Arial Narrow" w:hAnsi="Arial Narrow"/>
      </w:rPr>
      <w:fldChar w:fldCharType="separate"/>
    </w:r>
    <w:r>
      <w:rPr>
        <w:rStyle w:val="PageNumber"/>
        <w:sz w:val="18"/>
        <w:rFonts w:ascii="Arial Narrow" w:hAnsi="Arial Narrow"/>
      </w:rPr>
      <w:t>3</w:t>
    </w:r>
    <w:r>
      <w:rPr>
        <w:rStyle w:val="PageNumber"/>
        <w:sz w:val="18"/>
        <w:rFonts w:ascii="Arial Narrow" w:hAnsi="Arial Narrow"/>
      </w:rPr>
      <w:fldChar w:fldCharType="end"/>
    </w:r>
  </w:p>
  <w:p>
    <w:pPr>
      <w:pStyle w:val="Header"/>
      <w:bidi w:val="0"/>
      <w:jc w:val="start"/>
      <w:rPr>
        <w:rStyle w:val="PageNumber"/>
        <w:rFonts w:ascii="Times New Roman" w:hAnsi="Times New Roman"/>
        <w:sz w:val="24"/>
      </w:rPr>
    </w:pPr>
    <w:r>
      <w:rPr>
        <w:sz w:val="24"/>
      </w:rPr>
    </w:r>
  </w:p>
  <w:p>
    <w:pPr>
      <w:pStyle w:val="Header"/>
      <w:bidi w:val="0"/>
      <w:jc w:val="start"/>
      <w:rPr>
        <w:rStyle w:val="PageNumber"/>
        <w:rFonts w:ascii="Times New Roman" w:hAnsi="Times New Roman"/>
        <w:sz w:val="24"/>
      </w:rPr>
    </w:pPr>
    <w:r>
      <w:rPr>
        <w:sz w:val="24"/>
      </w:rPr>
    </w:r>
  </w:p>
  <w:p>
    <w:pPr>
      <w:pStyle w:val="Header"/>
      <w:bidi w:val="0"/>
      <w:jc w:val="start"/>
      <w:rPr>
        <w:rStyle w:val="PageNumber"/>
        <w:rFonts w:ascii="Times New Roman" w:hAnsi="Times New Roman"/>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rPr>
    </w:pPr>
    <w:r>
      <w:rPr>
        <w:b/>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Style w:val="PageNumber"/>
        <w:rFonts w:ascii="Arial Narrow" w:hAnsi="Arial Narrow"/>
        <w:sz w:val="18"/>
      </w:rPr>
    </w:pPr>
    <w:r>
      <w:rPr>
        <w:rStyle w:val="PageNumber"/>
        <w:rFonts w:ascii="Arial Narrow" w:hAnsi="Arial Narrow"/>
        <w:sz w:val="18"/>
      </w:rPr>
      <w:t xml:space="preserve">TBG Cogen Partners </w:t>
    </w:r>
  </w:p>
  <w:p>
    <w:pPr>
      <w:pStyle w:val="Header"/>
      <w:bidi w:val="0"/>
      <w:jc w:val="start"/>
      <w:rPr>
        <w:rStyle w:val="PageNumber"/>
        <w:rFonts w:ascii="Arial Narrow" w:hAnsi="Arial Narrow"/>
        <w:sz w:val="18"/>
      </w:rPr>
    </w:pPr>
    <w:r>
      <w:rPr>
        <w:rStyle w:val="PageNumber"/>
        <w:rFonts w:ascii="Arial Narrow" w:hAnsi="Arial Narrow"/>
        <w:sz w:val="18"/>
      </w:rPr>
      <w:t>November 1, 2001</w:t>
    </w:r>
  </w:p>
  <w:p>
    <w:pPr>
      <w:pStyle w:val="Header"/>
      <w:bidi w:val="0"/>
      <w:jc w:val="start"/>
      <w:rPr>
        <w:rStyle w:val="PageNumber"/>
        <w:rFonts w:ascii="Arial Narrow" w:hAnsi="Arial Narrow"/>
        <w:sz w:val="18"/>
      </w:rPr>
    </w:pPr>
    <w:r>
      <w:rPr>
        <w:rStyle w:val="PageNumber"/>
        <w:rFonts w:ascii="Arial Narrow" w:hAnsi="Arial Narrow"/>
        <w:sz w:val="18"/>
      </w:rPr>
      <w:t xml:space="preserve">Page </w:t>
    </w:r>
    <w:r>
      <w:rPr>
        <w:rStyle w:val="PageNumber"/>
        <w:rFonts w:ascii="Arial Narrow" w:hAnsi="Arial Narrow"/>
        <w:sz w:val="18"/>
      </w:rPr>
      <w:fldChar w:fldCharType="begin"/>
    </w:r>
    <w:r>
      <w:rPr>
        <w:rStyle w:val="PageNumber"/>
        <w:sz w:val="18"/>
        <w:rFonts w:ascii="Arial Narrow" w:hAnsi="Arial Narrow"/>
      </w:rPr>
      <w:instrText xml:space="preserve"> PAGE </w:instrText>
    </w:r>
    <w:r>
      <w:rPr>
        <w:rStyle w:val="PageNumber"/>
        <w:sz w:val="18"/>
        <w:rFonts w:ascii="Arial Narrow" w:hAnsi="Arial Narrow"/>
      </w:rPr>
      <w:fldChar w:fldCharType="separate"/>
    </w:r>
    <w:r>
      <w:rPr>
        <w:rStyle w:val="PageNumber"/>
        <w:sz w:val="18"/>
        <w:rFonts w:ascii="Arial Narrow" w:hAnsi="Arial Narrow"/>
      </w:rPr>
      <w:t>2</w:t>
    </w:r>
    <w:r>
      <w:rPr>
        <w:rStyle w:val="PageNumber"/>
        <w:sz w:val="18"/>
        <w:rFonts w:ascii="Arial Narrow" w:hAnsi="Arial Narrow"/>
      </w:rPr>
      <w:fldChar w:fldCharType="end"/>
    </w:r>
  </w:p>
  <w:p>
    <w:pPr>
      <w:pStyle w:val="Header"/>
      <w:bidi w:val="0"/>
      <w:jc w:val="start"/>
      <w:rPr>
        <w:rStyle w:val="PageNumber"/>
        <w:rFonts w:ascii="Times New Roman" w:hAnsi="Times New Roman"/>
        <w:sz w:val="24"/>
      </w:rPr>
    </w:pPr>
    <w:r>
      <w:rPr>
        <w:sz w:val="24"/>
      </w:rPr>
    </w:r>
  </w:p>
  <w:p>
    <w:pPr>
      <w:pStyle w:val="Header"/>
      <w:bidi w:val="0"/>
      <w:jc w:val="start"/>
      <w:rPr>
        <w:rStyle w:val="PageNumber"/>
        <w:rFonts w:ascii="Times New Roman" w:hAnsi="Times New Roman"/>
        <w:sz w:val="24"/>
      </w:rPr>
    </w:pPr>
    <w:r>
      <w:rPr>
        <w:sz w:val="24"/>
      </w:rPr>
    </w:r>
  </w:p>
  <w:p>
    <w:pPr>
      <w:pStyle w:val="Header"/>
      <w:bidi w:val="0"/>
      <w:jc w:val="start"/>
      <w:rPr>
        <w:rStyle w:val="PageNumber"/>
        <w:rFonts w:ascii="Times New Roman" w:hAnsi="Times New Roman"/>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Arial Narrow"/>
      <w:color w:val="auto"/>
      <w:kern w:val="2"/>
      <w:sz w:val="24"/>
      <w:szCs w:val="24"/>
      <w:lang w:val="en-CA" w:eastAsia="zh-CN" w:bidi="hi-IN"/>
    </w:rPr>
  </w:style>
  <w:style w:type="paragraph" w:styleId="Heading1">
    <w:name w:val="heading 1"/>
    <w:basedOn w:val="Normal"/>
    <w:next w:val="Normal"/>
    <w:qFormat/>
    <w:pPr>
      <w:keepNext w:val="true"/>
      <w:jc w:val="center"/>
    </w:pPr>
    <w:rPr>
      <w:rFonts w:ascii="Arial Narrow" w:hAnsi="Arial Narrow"/>
      <w:b/>
      <w:sz w:val="18"/>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36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848</Words>
  <CharactersWithSpaces>4839</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2001-10-26T12:21:00Z</dcterms:created>
  <dc:creator>ECT</dc:creator>
  <dc:description/>
  <dc:language>en-CA</dc:language>
  <cp:lastModifiedBy/>
  <cp:lastPrinted>2001-10-09T10:29:00Z</cp:lastPrinted>
  <dcterms:modified xsi:type="dcterms:W3CDTF">2001-10-26T18:10:00Z</dcterms:modified>
  <cp:revision>33</cp:revision>
  <dc:subject/>
  <dc:title>October 15, 1997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David T. Metcalfe</vt:lpwstr>
  </property>
</Properties>
</file>