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4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38"/>
        <w:gridCol w:w="3603"/>
      </w:tblGrid>
      <w:tr>
        <w:trPr>
          <w:trHeight w:val="1400" w:hRule="atLeast"/>
        </w:trPr>
        <w:tc>
          <w:tcPr>
            <w:tcW w:w="7038" w:type="dxa"/>
            <w:tcBorders/>
          </w:tcPr>
          <w:p>
            <w:pPr>
              <w:pStyle w:val="Normal"/>
              <w:rPr>
                <w:rFonts w:ascii="BauerBodni BT" w:hAnsi="BauerBodni BT" w:cs="BauerBodni BT"/>
                <w:b/>
                <w:sz w:val="24"/>
              </w:rPr>
            </w:pPr>
            <w:bookmarkStart w:id="0" w:name="photo"/>
            <w:bookmarkEnd w:id="0"/>
            <w:r>
              <w:rPr>
                <w:rFonts w:cs="BauerBodni BT" w:ascii="BauerBodni BT" w:hAnsi="BauerBodni BT"/>
                <w:b/>
                <w:sz w:val="24"/>
              </w:rPr>
              <w:t>Thomas A. Ferrigno</w:t>
            </w:r>
          </w:p>
          <w:p>
            <w:pPr>
              <w:pStyle w:val="Normal"/>
              <w:rPr>
                <w:rFonts w:ascii="BauerBodni BT" w:hAnsi="BauerBodni BT" w:cs="BauerBodni BT"/>
                <w:b/>
                <w:sz w:val="24"/>
              </w:rPr>
            </w:pPr>
            <w:r>
              <w:rPr>
                <w:rFonts w:cs="BauerBodni BT" w:ascii="BauerBodni BT" w:hAnsi="BauerBodni BT"/>
                <w:b/>
                <w:sz w:val="24"/>
              </w:rPr>
              <w:t>Partner</w:t>
            </w:r>
          </w:p>
          <w:p>
            <w:pPr>
              <w:pStyle w:val="Normal"/>
              <w:rPr>
                <w:rFonts w:ascii="BauerBodni BT" w:hAnsi="BauerBodni BT" w:cs="BauerBodni BT"/>
                <w:b/>
                <w:sz w:val="24"/>
              </w:rPr>
            </w:pPr>
            <w:r>
              <w:rPr>
                <w:rFonts w:cs="BauerBodni BT" w:ascii="BauerBodni BT" w:hAnsi="BauerBodni BT"/>
                <w:b/>
                <w:sz w:val="24"/>
              </w:rPr>
            </w:r>
          </w:p>
          <w:p>
            <w:pPr>
              <w:pStyle w:val="Normal"/>
              <w:rPr/>
            </w:pPr>
            <w:bookmarkStart w:id="1" w:name="MailAddress"/>
            <w:bookmarkEnd w:id="1"/>
            <w:r>
              <w:rPr>
                <w:i/>
                <w:sz w:val="24"/>
              </w:rPr>
              <w:t>e-mail:</w:t>
            </w:r>
            <w:r>
              <w:rPr>
                <w:sz w:val="24"/>
              </w:rPr>
              <w:t xml:space="preserve"> ferrigno@hugheshubbard.com</w:t>
              <w:br/>
            </w:r>
            <w:r>
              <w:rPr>
                <w:i/>
                <w:sz w:val="24"/>
              </w:rPr>
              <w:t>Phone:</w:t>
            </w:r>
            <w:r>
              <w:rPr>
                <w:sz w:val="24"/>
              </w:rPr>
              <w:t xml:space="preserve"> 202-721-4680</w:t>
              <w:br/>
            </w:r>
            <w:r>
              <w:rPr>
                <w:i/>
                <w:sz w:val="24"/>
              </w:rPr>
              <w:t>Office:</w:t>
            </w:r>
            <w:r>
              <w:rPr>
                <w:sz w:val="24"/>
              </w:rPr>
              <w:t xml:space="preserve"> Washington</w:t>
            </w:r>
          </w:p>
        </w:tc>
        <w:tc>
          <w:tcPr>
            <w:tcW w:w="3603" w:type="dxa"/>
            <w:tcBorders/>
          </w:tcPr>
          <w:p>
            <w:pPr>
              <w:pStyle w:val="Normal"/>
              <w:rPr/>
            </w:pPr>
            <w:r>
              <w:rPr>
                <w:smallCaps/>
                <w:sz w:val="24"/>
              </w:rPr>
              <w:t>Hughes Hubbard &amp; Reed LLP</w:t>
            </w:r>
            <w:r>
              <w:rPr>
                <w:sz w:val="24"/>
              </w:rPr>
              <w:br/>
              <w:t>1775 I Street, N.W.</w:t>
              <w:br/>
              <w:t>Suite 600</w:t>
              <w:br/>
              <w:t>Washington, DC 20006-2401</w:t>
              <w:br/>
              <w:t>Telephone (202) 721-4600</w:t>
              <w:br/>
              <w:t>Fax (202) 721-4646</w:t>
            </w:r>
          </w:p>
        </w:tc>
      </w:tr>
    </w:tbl>
    <w:p>
      <w:pPr>
        <w:pStyle w:val="Normal"/>
        <w:tabs>
          <w:tab w:val="clear" w:pos="720"/>
          <w:tab w:val="right" w:pos="10560" w:leader="none"/>
        </w:tabs>
        <w:spacing w:lineRule="auto" w:line="240"/>
        <w:rPr/>
      </w:pPr>
      <w:r>
        <w:rPr/>
      </w:r>
    </w:p>
    <w:tbl>
      <w:tblPr>
        <w:tblW w:w="1064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7563"/>
      </w:tblGrid>
      <w:tr>
        <w:trPr/>
        <w:tc>
          <w:tcPr>
            <w:tcW w:w="3078" w:type="dxa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SideHeading"/>
              <w:spacing w:before="160" w:after="0"/>
              <w:rPr>
                <w:sz w:val="22"/>
              </w:rPr>
            </w:pPr>
            <w:r>
              <w:rPr>
                <w:sz w:val="22"/>
              </w:rPr>
              <w:t>Areas of Concentration</w:t>
            </w:r>
          </w:p>
        </w:tc>
        <w:tc>
          <w:tcPr>
            <w:tcW w:w="7563" w:type="dxa"/>
            <w:tcBorders>
              <w:top w:val="single" w:sz="24" w:space="0" w:color="000000"/>
              <w:bottom w:val="single" w:sz="6" w:space="0" w:color="000000"/>
            </w:tcBorders>
          </w:tcPr>
          <w:p>
            <w:pPr>
              <w:pStyle w:val="BulletSingle"/>
              <w:numPr>
                <w:ilvl w:val="0"/>
                <w:numId w:val="2"/>
              </w:numPr>
              <w:spacing w:before="160" w:after="160"/>
              <w:ind w:hanging="158" w:start="158" w:end="0"/>
              <w:rPr/>
            </w:pPr>
            <w:r>
              <w:rPr>
                <w:i/>
              </w:rPr>
              <w:t>Securities Enforcement</w:t>
            </w:r>
            <w:r>
              <w:rPr/>
              <w:t xml:space="preserve"> with an emphasis on representing corporations and individuals in investigations conducted by governmental and quasi-governmental authorities, compliance counseling for broker-dealers and investment advisers and disclosure advice to corporations.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SideHeading"/>
              <w:numPr>
                <w:ilvl w:val="0"/>
                <w:numId w:val="0"/>
              </w:numPr>
              <w:spacing w:before="160" w:after="0"/>
              <w:ind w:hanging="0" w:start="0"/>
              <w:rPr>
                <w:sz w:val="22"/>
              </w:rPr>
            </w:pPr>
            <w:r>
              <w:rPr>
                <w:sz w:val="22"/>
              </w:rPr>
              <w:t>Securities Enforcement</w:t>
            </w:r>
          </w:p>
        </w:tc>
        <w:tc>
          <w:tcPr>
            <w:tcW w:w="7563" w:type="dxa"/>
            <w:tcBorders/>
          </w:tcPr>
          <w:p>
            <w:pPr>
              <w:pStyle w:val="BulletFirst"/>
              <w:numPr>
                <w:ilvl w:val="0"/>
                <w:numId w:val="2"/>
              </w:numPr>
              <w:spacing w:before="160" w:after="0"/>
              <w:ind w:hanging="158" w:start="158" w:end="0"/>
              <w:rPr/>
            </w:pPr>
            <w:r>
              <w:rPr/>
              <w:t>Representation of a treasurer of an oil and gas exploration and production company in connection with a financial fraud investigation</w:t>
            </w:r>
          </w:p>
          <w:p>
            <w:pPr>
              <w:pStyle w:val="BulletFirst"/>
              <w:numPr>
                <w:ilvl w:val="0"/>
                <w:numId w:val="2"/>
              </w:numPr>
              <w:ind w:hanging="158" w:start="158" w:end="0"/>
              <w:rPr/>
            </w:pPr>
            <w:r>
              <w:rPr/>
              <w:t>Representation of an investment adviser in connection with an insider trading inquiry.</w:t>
            </w:r>
          </w:p>
          <w:p>
            <w:pPr>
              <w:pStyle w:val="BulletFirst"/>
              <w:numPr>
                <w:ilvl w:val="0"/>
                <w:numId w:val="2"/>
              </w:numPr>
              <w:ind w:hanging="158" w:start="158" w:end="0"/>
              <w:rPr/>
            </w:pPr>
            <w:r>
              <w:rPr/>
              <w:t>Representation of the trustees of a municipal authority in connection with an investigation concerning three municipal bond offerings totaling over $800,000,000.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63" w:type="dxa"/>
            <w:tcBorders/>
          </w:tcPr>
          <w:p>
            <w:pPr>
              <w:pStyle w:val="BulletReg"/>
              <w:numPr>
                <w:ilvl w:val="0"/>
                <w:numId w:val="2"/>
              </w:numPr>
              <w:spacing w:before="80" w:after="0"/>
              <w:ind w:hanging="158" w:start="158" w:end="0"/>
              <w:rPr/>
            </w:pPr>
            <w:r>
              <w:rPr/>
              <w:t>Representation of a broker-dealer and senior officers of the firm in connection with an inquiry concerning the sales practices of registered representatives in numerous branch offices of the firm.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/>
          </w:tcPr>
          <w:p>
            <w:pPr>
              <w:pStyle w:val="BulletReg"/>
              <w:numPr>
                <w:ilvl w:val="0"/>
                <w:numId w:val="2"/>
              </w:numPr>
              <w:spacing w:before="80" w:after="0"/>
              <w:ind w:hanging="158" w:start="158" w:end="0"/>
              <w:rPr/>
            </w:pPr>
            <w:r>
              <w:rPr/>
              <w:t>Representation of a chief financial officer in connection with an insider trading inquiry.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SideHeading"/>
              <w:numPr>
                <w:ilvl w:val="0"/>
                <w:numId w:val="0"/>
              </w:numPr>
              <w:spacing w:before="160" w:after="0"/>
              <w:ind w:hanging="0" w:start="0"/>
              <w:rPr>
                <w:sz w:val="22"/>
              </w:rPr>
            </w:pPr>
            <w:r>
              <w:rPr>
                <w:sz w:val="22"/>
              </w:rPr>
              <w:t>Internal Investigations</w:t>
            </w:r>
          </w:p>
        </w:tc>
        <w:tc>
          <w:tcPr>
            <w:tcW w:w="7563" w:type="dxa"/>
            <w:tcBorders/>
          </w:tcPr>
          <w:p>
            <w:pPr>
              <w:pStyle w:val="BulletFirst"/>
              <w:numPr>
                <w:ilvl w:val="0"/>
                <w:numId w:val="2"/>
              </w:numPr>
              <w:spacing w:before="160" w:after="0"/>
              <w:ind w:hanging="158" w:start="158" w:end="0"/>
              <w:rPr/>
            </w:pPr>
            <w:r>
              <w:rPr/>
              <w:t>Investigation into the offer and sale by a broker-dealer of interests in limited partnerships over a four year-period.</w:t>
            </w:r>
          </w:p>
        </w:tc>
      </w:tr>
      <w:tr>
        <w:trPr/>
        <w:tc>
          <w:tcPr>
            <w:tcW w:w="3078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>
              <w:bottom w:val="single" w:sz="6" w:space="0" w:color="000000"/>
            </w:tcBorders>
          </w:tcPr>
          <w:p>
            <w:pPr>
              <w:pStyle w:val="BulletLast"/>
              <w:numPr>
                <w:ilvl w:val="0"/>
                <w:numId w:val="2"/>
              </w:numPr>
              <w:spacing w:before="80" w:after="160"/>
              <w:ind w:hanging="158" w:start="158" w:end="0"/>
              <w:rPr/>
            </w:pPr>
            <w:r>
              <w:rPr/>
              <w:t>Investigation of the sales practices of personnel in several branches of a major insurance company broker-dealer.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SideHeading"/>
              <w:numPr>
                <w:ilvl w:val="0"/>
                <w:numId w:val="0"/>
              </w:numPr>
              <w:spacing w:before="160" w:after="3"/>
              <w:ind w:hanging="0" w:start="0"/>
              <w:rPr>
                <w:sz w:val="22"/>
              </w:rPr>
            </w:pPr>
            <w:r>
              <w:rPr>
                <w:sz w:val="22"/>
              </w:rPr>
              <w:t>Broker-Dealer and Investment Adviser Regulatory Advice</w:t>
            </w:r>
          </w:p>
        </w:tc>
        <w:tc>
          <w:tcPr>
            <w:tcW w:w="7563" w:type="dxa"/>
            <w:tcBorders/>
          </w:tcPr>
          <w:p>
            <w:pPr>
              <w:pStyle w:val="BulletFirst"/>
              <w:numPr>
                <w:ilvl w:val="0"/>
                <w:numId w:val="2"/>
              </w:numPr>
              <w:spacing w:before="160" w:after="0"/>
              <w:ind w:hanging="158" w:start="158" w:end="0"/>
              <w:rPr/>
            </w:pPr>
            <w:r>
              <w:rPr/>
              <w:t>Performance of a compliance review for an investment adviser with over $200,000,000 under management.</w:t>
            </w:r>
          </w:p>
        </w:tc>
      </w:tr>
      <w:tr>
        <w:trPr/>
        <w:tc>
          <w:tcPr>
            <w:tcW w:w="3078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>
              <w:bottom w:val="single" w:sz="6" w:space="0" w:color="000000"/>
            </w:tcBorders>
          </w:tcPr>
          <w:p>
            <w:pPr>
              <w:pStyle w:val="BulletLast"/>
              <w:numPr>
                <w:ilvl w:val="0"/>
                <w:numId w:val="2"/>
              </w:numPr>
              <w:spacing w:before="80" w:after="160"/>
              <w:ind w:hanging="158" w:start="158" w:end="0"/>
              <w:rPr/>
            </w:pPr>
            <w:r>
              <w:rPr/>
              <w:t>Performance of a review of compliance policies and supervisory procedures concerning sales practices for an insurance company broker-dealer.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SideHeading"/>
              <w:numPr>
                <w:ilvl w:val="0"/>
                <w:numId w:val="0"/>
              </w:numPr>
              <w:spacing w:before="160" w:after="0"/>
              <w:ind w:hanging="0" w:start="0"/>
              <w:rPr>
                <w:sz w:val="22"/>
              </w:rPr>
            </w:pPr>
            <w:r>
              <w:rPr>
                <w:sz w:val="22"/>
              </w:rPr>
              <w:t>Publications and Lectures</w:t>
            </w:r>
          </w:p>
        </w:tc>
        <w:tc>
          <w:tcPr>
            <w:tcW w:w="7563" w:type="dxa"/>
            <w:tcBorders/>
          </w:tcPr>
          <w:p>
            <w:pPr>
              <w:pStyle w:val="BulletFirst"/>
              <w:numPr>
                <w:ilvl w:val="0"/>
                <w:numId w:val="2"/>
              </w:numPr>
              <w:spacing w:before="160" w:after="0"/>
              <w:ind w:hanging="158" w:start="158" w:end="0"/>
              <w:rPr/>
            </w:pPr>
            <w:r>
              <w:rPr/>
              <w:t>Co-author, “The SEC’s New Arsenal of Enforcement Remedies,” 47</w:t>
            </w:r>
            <w:r>
              <w:rPr>
                <w:i/>
              </w:rPr>
              <w:t xml:space="preserve"> The Business Lawyer</w:t>
            </w:r>
            <w:r>
              <w:rPr/>
              <w:t xml:space="preserve"> 33 (1991)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/>
          </w:tcPr>
          <w:p>
            <w:pPr>
              <w:pStyle w:val="BulletReg"/>
              <w:numPr>
                <w:ilvl w:val="0"/>
                <w:numId w:val="2"/>
              </w:numPr>
              <w:spacing w:before="80" w:after="0"/>
              <w:ind w:hanging="158" w:start="158" w:end="0"/>
              <w:rPr/>
            </w:pPr>
            <w:r>
              <w:rPr/>
              <w:t xml:space="preserve">Co-author, “The Corporate Image Suffers if Lesson of Dirks is Ignored,”  </w:t>
            </w:r>
            <w:r>
              <w:rPr>
                <w:i/>
              </w:rPr>
              <w:t>Legal Times</w:t>
            </w:r>
            <w:r>
              <w:rPr/>
              <w:t xml:space="preserve"> (Apr. 2, 1984)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/>
          </w:tcPr>
          <w:p>
            <w:pPr>
              <w:pStyle w:val="BulletReg"/>
              <w:numPr>
                <w:ilvl w:val="0"/>
                <w:numId w:val="2"/>
              </w:numPr>
              <w:spacing w:before="80" w:after="0"/>
              <w:ind w:hanging="158" w:start="158" w:end="0"/>
              <w:rPr/>
            </w:pPr>
            <w:r>
              <w:rPr/>
              <w:t>Co-author, “Developments in Litigation under Rule 10b-5, Recent Developments in Securities Litigation,” (P.L.I. 1984)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/>
          </w:tcPr>
          <w:p>
            <w:pPr>
              <w:pStyle w:val="BulletReg"/>
              <w:numPr>
                <w:ilvl w:val="0"/>
                <w:numId w:val="2"/>
              </w:numPr>
              <w:spacing w:before="80" w:after="0"/>
              <w:ind w:hanging="158" w:start="158" w:end="0"/>
              <w:rPr/>
            </w:pPr>
            <w:r>
              <w:rPr/>
              <w:t>Co-author, Evolving Legal Requirements and SEC Initiatives After Dirks,” Third Annual Securities and Law Enforcement Institute, (Law &amp; Business, Inc., 1984)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/>
          </w:tcPr>
          <w:p>
            <w:pPr>
              <w:pStyle w:val="BulletReg"/>
              <w:numPr>
                <w:ilvl w:val="0"/>
                <w:numId w:val="2"/>
              </w:numPr>
              <w:spacing w:before="80" w:after="0"/>
              <w:ind w:hanging="158" w:start="158" w:end="0"/>
              <w:rPr/>
            </w:pPr>
            <w:r>
              <w:rPr/>
              <w:t>Co-author, “Financial Frauds and Related Party Transactions -- The SEC Responses,” Second Annual Securities Law &amp; Enforcement Institute (Law &amp; Business, Inc., 1983)</w:t>
            </w:r>
          </w:p>
        </w:tc>
      </w:tr>
      <w:tr>
        <w:trPr/>
        <w:tc>
          <w:tcPr>
            <w:tcW w:w="3078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>
              <w:bottom w:val="single" w:sz="6" w:space="0" w:color="000000"/>
            </w:tcBorders>
          </w:tcPr>
          <w:p>
            <w:pPr>
              <w:pStyle w:val="BulletLast"/>
              <w:numPr>
                <w:ilvl w:val="0"/>
                <w:numId w:val="2"/>
              </w:numPr>
              <w:spacing w:before="80" w:after="160"/>
              <w:ind w:hanging="158" w:start="158" w:end="0"/>
              <w:rPr/>
            </w:pPr>
            <w:r>
              <w:rPr/>
              <w:t>Co-author, “An Overview of Various Considerations in SEC Investigations and Enforcement Actions, Handling an SEC Investigation,” (P.L.I., 1980)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SideHeading"/>
              <w:numPr>
                <w:ilvl w:val="0"/>
                <w:numId w:val="0"/>
              </w:numPr>
              <w:spacing w:before="160" w:after="0"/>
              <w:ind w:hanging="0" w:start="0"/>
              <w:rPr>
                <w:sz w:val="22"/>
              </w:rPr>
            </w:pPr>
            <w:r>
              <w:rPr>
                <w:sz w:val="22"/>
              </w:rPr>
              <w:t>Professional Experience</w:t>
            </w:r>
          </w:p>
        </w:tc>
        <w:tc>
          <w:tcPr>
            <w:tcW w:w="7563" w:type="dxa"/>
            <w:tcBorders/>
          </w:tcPr>
          <w:p>
            <w:pPr>
              <w:pStyle w:val="BulletFirst"/>
              <w:numPr>
                <w:ilvl w:val="0"/>
                <w:numId w:val="2"/>
              </w:numPr>
              <w:spacing w:before="160" w:after="0"/>
              <w:ind w:hanging="158" w:start="158" w:end="0"/>
              <w:rPr/>
            </w:pPr>
            <w:r>
              <w:rPr/>
              <w:t xml:space="preserve">Chief Counsel, Assistant Director, Branch Chief and Senior Counsel, Division of Enforcement, U.S. Securities and Exchange Commission </w:t>
              <w:br/>
              <w:t>(1978-1989)</w:t>
            </w:r>
          </w:p>
        </w:tc>
      </w:tr>
      <w:tr>
        <w:trPr/>
        <w:tc>
          <w:tcPr>
            <w:tcW w:w="3078" w:type="dxa"/>
            <w:tcBorders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7563" w:type="dxa"/>
            <w:tcBorders>
              <w:bottom w:val="single" w:sz="6" w:space="0" w:color="000000"/>
            </w:tcBorders>
          </w:tcPr>
          <w:p>
            <w:pPr>
              <w:pStyle w:val="BulletLast"/>
              <w:numPr>
                <w:ilvl w:val="0"/>
                <w:numId w:val="2"/>
              </w:numPr>
              <w:spacing w:before="80" w:after="160"/>
              <w:ind w:hanging="158" w:start="158" w:end="0"/>
              <w:rPr/>
            </w:pPr>
            <w:r>
              <w:rPr/>
              <w:t>Attorney, Economic Crime Project (1974-1978)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SideHeading"/>
              <w:spacing w:before="160" w:after="0"/>
              <w:rPr>
                <w:sz w:val="22"/>
              </w:rPr>
            </w:pPr>
            <w:r>
              <w:rPr>
                <w:sz w:val="22"/>
              </w:rPr>
              <w:t>Born</w:t>
            </w:r>
          </w:p>
        </w:tc>
        <w:tc>
          <w:tcPr>
            <w:tcW w:w="7563" w:type="dxa"/>
            <w:tcBorders/>
          </w:tcPr>
          <w:p>
            <w:pPr>
              <w:pStyle w:val="ParaBody"/>
              <w:spacing w:before="160" w:after="0"/>
              <w:ind w:hanging="162" w:start="162" w:end="0"/>
              <w:rPr/>
            </w:pPr>
            <w:r>
              <w:rPr/>
              <w:t>New Haven, CT—April 3, 1949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SideHeading"/>
              <w:spacing w:before="160" w:after="0"/>
              <w:rPr>
                <w:sz w:val="22"/>
              </w:rPr>
            </w:pPr>
            <w:r>
              <w:rPr>
                <w:sz w:val="22"/>
              </w:rPr>
              <w:t>Education</w:t>
            </w:r>
          </w:p>
        </w:tc>
        <w:tc>
          <w:tcPr>
            <w:tcW w:w="7563" w:type="dxa"/>
            <w:tcBorders/>
          </w:tcPr>
          <w:p>
            <w:pPr>
              <w:pStyle w:val="ParaBody"/>
              <w:spacing w:before="160" w:after="0"/>
              <w:ind w:hanging="162" w:start="162" w:end="0"/>
              <w:rPr/>
            </w:pPr>
            <w:r>
              <w:rPr/>
              <w:t>Georgetown University, B.A., 1971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63" w:type="dxa"/>
            <w:tcBorders/>
          </w:tcPr>
          <w:p>
            <w:pPr>
              <w:pStyle w:val="ParaBodyReg"/>
              <w:rPr/>
            </w:pPr>
            <w:r>
              <w:rPr/>
              <w:t>Georgetown University Law Center, J.D., 1974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SideHeading"/>
              <w:spacing w:before="160" w:after="0"/>
              <w:rPr>
                <w:sz w:val="22"/>
              </w:rPr>
            </w:pPr>
            <w:r>
              <w:rPr>
                <w:sz w:val="22"/>
              </w:rPr>
              <w:t>Bar Admissions</w:t>
            </w:r>
          </w:p>
        </w:tc>
        <w:tc>
          <w:tcPr>
            <w:tcW w:w="7563" w:type="dxa"/>
            <w:tcBorders/>
          </w:tcPr>
          <w:p>
            <w:pPr>
              <w:pStyle w:val="ParaBody"/>
              <w:spacing w:before="160" w:after="0"/>
              <w:ind w:hanging="162" w:start="162" w:end="0"/>
              <w:rPr/>
            </w:pPr>
            <w:r>
              <w:rPr/>
              <w:t>District of Columbia, 1975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1008" w:bottom="10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auerBodni BT">
    <w:charset w:val="00" w:characterSet="windows-1252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48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060"/>
      <w:gridCol w:w="7488"/>
    </w:tblGrid>
    <w:tr>
      <w:trPr>
        <w:trHeight w:val="480" w:hRule="exact"/>
      </w:trPr>
      <w:tc>
        <w:tcPr>
          <w:tcW w:w="3060" w:type="dxa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  <w:tc>
        <w:tcPr>
          <w:tcW w:w="7488" w:type="dxa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  <w:tr>
      <w:trPr/>
      <w:tc>
        <w:tcPr>
          <w:tcW w:w="3060" w:type="dxa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  <w:tc>
        <w:tcPr>
          <w:tcW w:w="7488" w:type="dxa"/>
          <w:tcBorders/>
        </w:tcPr>
        <w:p>
          <w:pPr>
            <w:pStyle w:val="Footer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80" w:after="280"/>
      <w:rPr>
        <w:rFonts w:ascii="BauerBodni BT" w:hAnsi="BauerBodni BT" w:cs="BauerBodni BT"/>
        <w:b/>
        <w:sz w:val="24"/>
      </w:rPr>
    </w:pPr>
    <w:r>
      <w:rPr>
        <w:rFonts w:cs="BauerBodni BT" w:ascii="BauerBodni BT" w:hAnsi="BauerBodni BT"/>
        <w:b/>
        <w:sz w:val="24"/>
      </w:rPr>
      <w:t>Thomas A. Ferrigno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120"/>
        </w:tabs>
        <w:ind w:start="120" w:hanging="12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20"/>
        </w:tabs>
        <w:ind w:start="120" w:hanging="1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20"/>
        </w:tabs>
        <w:ind w:start="120" w:hanging="1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20"/>
        </w:tabs>
        <w:ind w:start="120" w:hanging="1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20"/>
        </w:tabs>
        <w:ind w:start="120" w:hanging="1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"/>
        </w:tabs>
        <w:ind w:start="120" w:hanging="1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20"/>
        </w:tabs>
        <w:ind w:start="120" w:hanging="1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Sidehead" w:val="Litigation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spacing w:lineRule="atLeast" w:line="250"/>
      <w:textAlignment w:val="baseline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40" w:after="0"/>
      <w:ind w:firstLine="720" w:start="0" w:end="0"/>
      <w:outlineLvl w:val="1"/>
    </w:pPr>
    <w:rPr>
      <w:rFonts w:ascii="Times New Roman" w:hAnsi="Times New Roman" w:cs="Times New Roman"/>
      <w:sz w:val="24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uto" w:line="240" w:before="240" w:after="240"/>
      <w:outlineLvl w:val="2"/>
    </w:pPr>
    <w:rPr>
      <w:rFonts w:ascii="Times New Roman" w:hAnsi="Times New Roman" w:cs="Times New Roman"/>
      <w:b/>
      <w:sz w:val="24"/>
    </w:rPr>
  </w:style>
  <w:style w:type="character" w:styleId="WW8NumSt1z0">
    <w:name w:val="WW8NumSt1z0"/>
    <w:qFormat/>
    <w:rPr>
      <w:rFonts w:ascii="Symbol" w:hAnsi="Symbol" w:cs="Symbol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right" w:pos="7440" w:leader="none"/>
      </w:tabs>
    </w:pPr>
    <w:rPr>
      <w:rFonts w:ascii="BauerBodni BT" w:hAnsi="BauerBodni BT" w:cs="BauerBodni BT"/>
      <w:b/>
      <w:sz w:val="28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lineRule="atLeast" w:line="200"/>
    </w:pPr>
    <w:rPr>
      <w:i/>
      <w:sz w:val="16"/>
    </w:rPr>
  </w:style>
  <w:style w:type="paragraph" w:styleId="SideHeading">
    <w:name w:val="SideHeading"/>
    <w:basedOn w:val="Normal"/>
    <w:qFormat/>
    <w:pPr>
      <w:suppressAutoHyphens w:val="true"/>
      <w:spacing w:before="160" w:after="0"/>
    </w:pPr>
    <w:rPr>
      <w:b/>
      <w:sz w:val="20"/>
    </w:rPr>
  </w:style>
  <w:style w:type="paragraph" w:styleId="ParaHeadItalics">
    <w:name w:val="ParaHeadItalics"/>
    <w:basedOn w:val="Normal"/>
    <w:qFormat/>
    <w:pPr>
      <w:spacing w:before="160" w:after="0"/>
    </w:pPr>
    <w:rPr>
      <w:i/>
    </w:rPr>
  </w:style>
  <w:style w:type="paragraph" w:styleId="BulletFirst">
    <w:name w:val="Bullet First"/>
    <w:basedOn w:val="Normal"/>
    <w:qFormat/>
    <w:pPr>
      <w:numPr>
        <w:ilvl w:val="0"/>
        <w:numId w:val="3"/>
      </w:numPr>
      <w:spacing w:before="160" w:after="0"/>
      <w:ind w:hanging="158" w:start="158" w:end="0"/>
    </w:pPr>
    <w:rPr>
      <w:spacing w:val="-2"/>
    </w:rPr>
  </w:style>
  <w:style w:type="paragraph" w:styleId="BulletSingle">
    <w:name w:val="Bullet Single"/>
    <w:basedOn w:val="BulletFirst"/>
    <w:qFormat/>
    <w:pPr>
      <w:spacing w:before="160" w:after="160"/>
    </w:pPr>
    <w:rPr/>
  </w:style>
  <w:style w:type="paragraph" w:styleId="ParaBodyReg">
    <w:name w:val="ParaBodyReg"/>
    <w:basedOn w:val="Normal"/>
    <w:qFormat/>
    <w:pPr>
      <w:ind w:hanging="162" w:start="162" w:end="0"/>
    </w:pPr>
    <w:rPr/>
  </w:style>
  <w:style w:type="paragraph" w:styleId="BulletLast">
    <w:name w:val="Bullet Last"/>
    <w:basedOn w:val="Normal"/>
    <w:next w:val="Normal"/>
    <w:qFormat/>
    <w:pPr>
      <w:numPr>
        <w:ilvl w:val="0"/>
        <w:numId w:val="4"/>
      </w:numPr>
      <w:spacing w:before="80" w:after="160"/>
      <w:ind w:hanging="158" w:start="158" w:end="0"/>
    </w:pPr>
    <w:rPr/>
  </w:style>
  <w:style w:type="paragraph" w:styleId="ParaBodyLast">
    <w:name w:val="ParaBodyLast"/>
    <w:basedOn w:val="Normal"/>
    <w:qFormat/>
    <w:pPr>
      <w:spacing w:before="80" w:after="160"/>
    </w:pPr>
    <w:rPr/>
  </w:style>
  <w:style w:type="paragraph" w:styleId="ParaBodySingle">
    <w:name w:val="ParaBodySingle"/>
    <w:basedOn w:val="Normal"/>
    <w:qFormat/>
    <w:pPr>
      <w:spacing w:before="160" w:after="160"/>
    </w:pPr>
    <w:rPr/>
  </w:style>
  <w:style w:type="paragraph" w:styleId="BulletReg">
    <w:name w:val="Bullet Reg"/>
    <w:basedOn w:val="Normal"/>
    <w:qFormat/>
    <w:pPr>
      <w:numPr>
        <w:ilvl w:val="0"/>
        <w:numId w:val="5"/>
      </w:numPr>
      <w:spacing w:before="80" w:after="0"/>
      <w:ind w:hanging="158" w:start="158" w:end="0"/>
    </w:pPr>
    <w:rPr/>
  </w:style>
  <w:style w:type="paragraph" w:styleId="BulletIndent">
    <w:name w:val="Bullet Indent"/>
    <w:basedOn w:val="Normal"/>
    <w:qFormat/>
    <w:pPr>
      <w:numPr>
        <w:ilvl w:val="0"/>
        <w:numId w:val="6"/>
      </w:numPr>
      <w:spacing w:before="80" w:after="0"/>
      <w:ind w:hanging="158" w:start="316" w:end="0"/>
    </w:pPr>
    <w:rPr/>
  </w:style>
  <w:style w:type="paragraph" w:styleId="BulletIndentLast">
    <w:name w:val="Bullet Indent Last"/>
    <w:basedOn w:val="Normal"/>
    <w:qFormat/>
    <w:pPr>
      <w:numPr>
        <w:ilvl w:val="0"/>
        <w:numId w:val="7"/>
      </w:numPr>
      <w:spacing w:before="80" w:after="160"/>
      <w:ind w:hanging="158" w:start="316" w:end="0"/>
    </w:pPr>
    <w:rPr/>
  </w:style>
  <w:style w:type="paragraph" w:styleId="ParaBody">
    <w:name w:val="ParaBody"/>
    <w:basedOn w:val="Normal"/>
    <w:qFormat/>
    <w:pPr>
      <w:spacing w:before="160" w:after="0"/>
      <w:ind w:hanging="162" w:start="162" w:end="0"/>
    </w:pPr>
    <w:rPr/>
  </w:style>
  <w:style w:type="paragraph" w:styleId="ParaHead">
    <w:name w:val="ParaHead"/>
    <w:basedOn w:val="Normal"/>
    <w:qFormat/>
    <w:pPr>
      <w:spacing w:before="160" w:after="0"/>
    </w:pPr>
    <w:rPr/>
  </w:style>
  <w:style w:type="paragraph" w:styleId="NormalItalic">
    <w:name w:val="NormalItalic"/>
    <w:basedOn w:val="Normal"/>
    <w:qFormat/>
    <w:pPr>
      <w:keepLines/>
      <w:spacing w:before="0" w:after="160"/>
      <w:ind w:hanging="0" w:start="0" w:end="200"/>
    </w:pPr>
    <w:rPr>
      <w:i/>
    </w:rPr>
  </w:style>
  <w:style w:type="paragraph" w:styleId="LastBullet">
    <w:name w:val="LastBullet"/>
    <w:basedOn w:val="Normal"/>
    <w:next w:val="Normal"/>
    <w:qFormat/>
    <w:pPr>
      <w:keepLines/>
      <w:numPr>
        <w:ilvl w:val="0"/>
        <w:numId w:val="8"/>
      </w:numPr>
      <w:spacing w:before="40" w:after="160"/>
      <w:ind w:hanging="115" w:start="115" w:end="20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2001-11-15T20:52:00Z</dcterms:created>
  <dc:creator>Haines, Christina</dc:creator>
  <dc:description>HAINES, CHRISTINAÿþSECRETARYýüûúùDocumentsøDC÷öõLITIGATIONôó8òñð</dc:description>
  <cp:keywords>990100.1016</cp:keywords>
  <dc:language>en-CA</dc:language>
  <cp:lastModifiedBy>abikoff</cp:lastModifiedBy>
  <cp:lastPrinted>2001-11-15T18:21:00Z</cp:lastPrinted>
  <dcterms:modified xsi:type="dcterms:W3CDTF">2001-11-15T20:52:00Z</dcterms:modified>
  <cp:revision>2</cp:revision>
  <dc:subject>6</dc:subject>
  <dc:title>BIO-TF</dc:title>
</cp:coreProperties>
</file>