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69" w:type="dxa"/>
        <w:jc w:val="start"/>
        <w:tblInd w:w="0" w:type="dxa"/>
        <w:tblLayout w:type="fixed"/>
        <w:tblCellMar>
          <w:top w:w="0" w:type="dxa"/>
          <w:start w:w="0" w:type="dxa"/>
          <w:bottom w:w="0" w:type="dxa"/>
          <w:end w:w="0" w:type="dxa"/>
        </w:tblCellMar>
      </w:tblPr>
      <w:tblGrid>
        <w:gridCol w:w="2880"/>
        <w:gridCol w:w="3629"/>
        <w:gridCol w:w="3960"/>
      </w:tblGrid>
      <w:tr>
        <w:trPr>
          <w:trHeight w:val="1872" w:hRule="exact"/>
        </w:trPr>
        <w:tc>
          <w:tcPr>
            <w:tcW w:w="2880" w:type="dxa"/>
            <w:tcBorders/>
          </w:tcPr>
          <w:p>
            <w:pPr>
              <w:pStyle w:val="Letterhead"/>
              <w:snapToGrid w:val="false"/>
              <w:rPr/>
            </w:pPr>
            <w:r>
              <w:rPr/>
            </w:r>
          </w:p>
        </w:tc>
        <w:tc>
          <w:tcPr>
            <w:tcW w:w="3629" w:type="dxa"/>
            <w:tcBorders/>
          </w:tcPr>
          <w:p>
            <w:pPr>
              <w:pStyle w:val="LetterDate"/>
              <w:ind w:start="113" w:end="113"/>
              <w:jc w:val="center"/>
              <w:rPr>
                <w:lang w:val="en-CA"/>
              </w:rPr>
            </w:pPr>
            <w:r>
              <w:rPr>
                <w:lang w:val="en-CA"/>
              </w:rPr>
              <w:t>March 2, 2001</w:t>
            </w:r>
          </w:p>
        </w:tc>
        <w:tc>
          <w:tcPr>
            <w:tcW w:w="3960" w:type="dxa"/>
            <w:tcBorders/>
          </w:tcPr>
          <w:p>
            <w:pPr>
              <w:pStyle w:val="Letterhead"/>
              <w:snapToGrid w:val="false"/>
              <w:ind w:start="1440" w:end="0"/>
              <w:rPr/>
            </w:pPr>
            <w:r>
              <w:rPr/>
            </w:r>
          </w:p>
        </w:tc>
      </w:tr>
    </w:tbl>
    <w:p>
      <w:pPr>
        <w:pStyle w:val="Address"/>
        <w:rPr/>
      </w:pPr>
      <w:r>
        <w:rPr/>
      </w:r>
    </w:p>
    <w:p>
      <w:pPr>
        <w:pStyle w:val="Address"/>
        <w:numPr>
          <w:ilvl w:val="0"/>
          <w:numId w:val="0"/>
        </w:numPr>
        <w:outlineLvl w:val="0"/>
        <w:rPr/>
      </w:pPr>
      <w:r>
        <w:rPr/>
        <w:t>Commissioner Richard A.Bilas</w:t>
      </w:r>
    </w:p>
    <w:p>
      <w:pPr>
        <w:pStyle w:val="Address"/>
        <w:rPr/>
      </w:pPr>
      <w:r>
        <w:rPr/>
        <w:t>California Public Utilities Commission</w:t>
      </w:r>
    </w:p>
    <w:p>
      <w:pPr>
        <w:pStyle w:val="Address"/>
        <w:rPr/>
      </w:pPr>
      <w:r>
        <w:rPr/>
        <w:t>505 Van Ness Ave.</w:t>
      </w:r>
    </w:p>
    <w:p>
      <w:pPr>
        <w:pStyle w:val="Address"/>
        <w:rPr/>
      </w:pPr>
      <w:r>
        <w:rPr/>
        <w:t>San Francisco, CA 94102</w:t>
      </w:r>
    </w:p>
    <w:p>
      <w:pPr>
        <w:pStyle w:val="ReLine"/>
        <w:ind w:start="2160" w:end="115"/>
        <w:rPr>
          <w:b/>
        </w:rPr>
      </w:pPr>
      <w:r>
        <w:rPr>
          <w:b/>
        </w:rPr>
        <w:t>Re:</w:t>
        <w:tab/>
      </w:r>
      <w:r>
        <w:rPr>
          <w:b/>
          <w:u w:val="single"/>
        </w:rPr>
        <w:t>Alternate Draft Order of Commissioner Bilas in A.00-11-038, et. al.</w:t>
      </w:r>
    </w:p>
    <w:p>
      <w:pPr>
        <w:pStyle w:val="Salutation"/>
        <w:rPr/>
      </w:pPr>
      <w:r>
        <w:rPr/>
        <w:t>Dear Commissioner Bilas:</w:t>
      </w:r>
    </w:p>
    <w:p>
      <w:pPr>
        <w:pStyle w:val="BodyText"/>
        <w:jc w:val="both"/>
        <w:rPr/>
      </w:pPr>
      <w:r>
        <w:rPr/>
        <w:t>The undersigned parties, consisting of a wide variety of consumers, customer groups and energy service providers, submits this letter under Rule 77 of the Commission’s Rules of Practice and Procedure as their comments on one important aspect of the Alternate Draft Order mailed on February 23, 2001 in the above-referenced docket.</w:t>
      </w:r>
    </w:p>
    <w:p>
      <w:pPr>
        <w:pStyle w:val="BodyText"/>
        <w:jc w:val="both"/>
        <w:rPr/>
      </w:pPr>
      <w:r>
        <w:rPr/>
        <w:t>The signatories to this letter all either take direct access service, offer direct access to customers, or represent end-users who wish to evaluate direct access programs going forward. We all strongly support the language in your Alternate Draft Order indicates that the Commission shall stay any action on implementation of the suspension of direct access under Water Code Section 80110 until further order. (Alternate Order, p. 5.)  As we know you are aware, numerous members of the legislature and the administration have committed to the direct access community that there will be a legislative vehicle to remedy the unfortunate language of ABX –1 which provides for a suspension of direct access.  Indeed, Senator Deborah Bowen has followed her commitment with action, and has introduced SB 27X for the express purpose of fashioning a remedy to the direct access issue.   Discussions with the Senator and the administration over the precise language for such a bill are ongoing at this time.  Given these facts, it is certainly appropriate for the Commission to refrain from any action on the suspension of direct access, as contrary direction in the form of new legislation is very likely to arrive before the end of the Legislature’s extraordinary session.</w:t>
      </w:r>
    </w:p>
    <w:p>
      <w:pPr>
        <w:pStyle w:val="BodyText"/>
        <w:jc w:val="both"/>
        <w:rPr/>
      </w:pPr>
      <w:r>
        <w:rPr/>
        <w:t>Furthermore, we wish to point out that preserving the direct access program at this time is of significant benefit to the State and to all other ratepayers.  Every customer who can be served by direct access is one less customer whose electricity needs will have to be purchased in part by the Department of Water Resources, thereby placing more demands on the State’s revenues or on ratepayers who may have to repay bonds issued to cover any shortfall in energy purchases by the DWR.  In other words, we all have an interest in preserving the direct access program and making it work in the context of the current energy situation in California.  Therefore it is critical that the Commission not take any precipitous actions to suspend direct access and customer choice at a time when direct access can help reduce the financial burden on the State and its taxpayers and ratepayers.  Your Alternate Draft Order makes the correct policy choice by deferring a decision on direct access suspension so that the program can continue to offer benefits to customers and the State while the ongoing legislative debate seeks a permanent resolution to the issue.</w:t>
      </w:r>
    </w:p>
    <w:p>
      <w:pPr>
        <w:pStyle w:val="BodyText"/>
        <w:jc w:val="both"/>
        <w:rPr/>
      </w:pPr>
      <w:r>
        <w:rPr/>
        <w:t>Thank you for taking the time to address this issue in your Alternate Draft Order.  We urge you and your fellow Commissioners to adopt the Alternate Draft Order, or in the alternative, to include the same language staying any further action on the direct access suspension in any other Order adopted in this proceeding.</w:t>
      </w:r>
    </w:p>
    <w:p>
      <w:pPr>
        <w:pStyle w:val="BodyText"/>
        <w:ind w:start="4320" w:end="0"/>
        <w:jc w:val="both"/>
        <w:rPr/>
      </w:pPr>
      <w:r>
        <w:rPr/>
      </w:r>
    </w:p>
    <w:p>
      <w:pPr>
        <w:pStyle w:val="BodyText"/>
        <w:ind w:start="4320" w:end="0"/>
        <w:jc w:val="both"/>
        <w:rPr/>
      </w:pPr>
      <w:r>
        <w:rPr/>
        <w:t>Very truly yours,</w:t>
      </w:r>
    </w:p>
    <w:p>
      <w:pPr>
        <w:pStyle w:val="BodyText"/>
        <w:ind w:start="4320" w:end="0"/>
        <w:jc w:val="both"/>
        <w:rPr/>
      </w:pPr>
      <w:r>
        <w:rPr/>
      </w:r>
    </w:p>
    <w:p>
      <w:pPr>
        <w:pStyle w:val="BodyText"/>
        <w:ind w:start="4320" w:end="0"/>
        <w:jc w:val="both"/>
        <w:rPr/>
      </w:pPr>
      <w:r>
        <w:rPr/>
        <w:t>Michael B. Day</w:t>
      </w:r>
    </w:p>
    <w:p>
      <w:pPr>
        <w:pStyle w:val="LetterSignature"/>
        <w:rPr/>
      </w:pPr>
      <w:r>
        <w:rPr/>
        <w:t>Goodin, MacBride, Squeri, Ritchie &amp; Day, LLP</w:t>
      </w:r>
    </w:p>
    <w:p>
      <w:pPr>
        <w:pStyle w:val="LetterSignature"/>
        <w:rPr/>
      </w:pPr>
      <w:r>
        <w:rPr/>
      </w:r>
    </w:p>
    <w:p>
      <w:pPr>
        <w:pStyle w:val="LetterSignature"/>
        <w:rPr/>
      </w:pPr>
      <w:r>
        <w:rPr/>
        <w:t>On behalf of</w:t>
      </w:r>
    </w:p>
    <w:p>
      <w:pPr>
        <w:pStyle w:val="LetterSignature"/>
        <w:rPr/>
      </w:pPr>
      <w:r>
        <w:rPr/>
      </w:r>
    </w:p>
    <w:p>
      <w:pPr>
        <w:pStyle w:val="LetterSignature"/>
        <w:rPr/>
      </w:pPr>
      <w:r>
        <w:rPr/>
        <w:t>AES NewEnergy, Inc.</w:t>
      </w:r>
    </w:p>
    <w:p>
      <w:pPr>
        <w:pStyle w:val="LetterSignature"/>
        <w:rPr/>
      </w:pPr>
      <w:r>
        <w:rPr/>
      </w:r>
    </w:p>
    <w:p>
      <w:pPr>
        <w:pStyle w:val="LetterSignature"/>
        <w:rPr/>
      </w:pPr>
      <w:r>
        <w:rPr/>
        <w:t>The Association of Bay Area Governments POWER Program</w:t>
      </w:r>
    </w:p>
    <w:p>
      <w:pPr>
        <w:pStyle w:val="LetterSignature"/>
        <w:rPr/>
      </w:pPr>
      <w:r>
        <w:rPr/>
      </w:r>
    </w:p>
    <w:p>
      <w:pPr>
        <w:pStyle w:val="LetterSignature"/>
        <w:rPr/>
      </w:pPr>
      <w:r>
        <w:rPr/>
        <w:t>California Building Owners and Managers Association of California</w:t>
      </w:r>
    </w:p>
    <w:p>
      <w:pPr>
        <w:pStyle w:val="LetterSignature"/>
        <w:rPr/>
      </w:pPr>
      <w:r>
        <w:rPr/>
      </w:r>
    </w:p>
    <w:p>
      <w:pPr>
        <w:pStyle w:val="LetterSignature"/>
        <w:rPr/>
      </w:pPr>
      <w:r>
        <w:rPr/>
        <w:t xml:space="preserve">California Chamber of Commerce </w:t>
      </w:r>
    </w:p>
    <w:p>
      <w:pPr>
        <w:pStyle w:val="LetterSignature"/>
        <w:rPr/>
      </w:pPr>
      <w:r>
        <w:rPr/>
      </w:r>
    </w:p>
    <w:p>
      <w:pPr>
        <w:pStyle w:val="LetterSignature"/>
        <w:rPr/>
      </w:pPr>
      <w:r>
        <w:rPr/>
        <w:t>California Grocers Association</w:t>
      </w:r>
    </w:p>
    <w:p>
      <w:pPr>
        <w:pStyle w:val="LetterSignature"/>
        <w:rPr/>
      </w:pPr>
      <w:r>
        <w:rPr/>
      </w:r>
    </w:p>
    <w:p>
      <w:pPr>
        <w:pStyle w:val="LetterSignature"/>
        <w:rPr/>
      </w:pPr>
      <w:r>
        <w:rPr/>
        <w:t xml:space="preserve">California Health Care Association </w:t>
      </w:r>
    </w:p>
    <w:p>
      <w:pPr>
        <w:pStyle w:val="LetterSignature"/>
        <w:rPr/>
      </w:pPr>
      <w:r>
        <w:rPr/>
      </w:r>
    </w:p>
    <w:p>
      <w:pPr>
        <w:pStyle w:val="LetterSignature"/>
        <w:rPr/>
      </w:pPr>
      <w:r>
        <w:rPr/>
        <w:t xml:space="preserve">California Large Energy Consumers Association  </w:t>
      </w:r>
    </w:p>
    <w:p>
      <w:pPr>
        <w:pStyle w:val="BodyText"/>
        <w:ind w:start="4320" w:end="0"/>
        <w:jc w:val="both"/>
        <w:rPr/>
      </w:pPr>
      <w:r>
        <w:rPr/>
      </w:r>
    </w:p>
    <w:p>
      <w:pPr>
        <w:pStyle w:val="BodyText"/>
        <w:ind w:start="4320" w:end="0"/>
        <w:jc w:val="both"/>
        <w:rPr/>
      </w:pPr>
      <w:r>
        <w:rPr/>
      </w:r>
    </w:p>
    <w:p>
      <w:pPr>
        <w:pStyle w:val="LetterSignature"/>
        <w:rPr/>
      </w:pPr>
      <w:r>
        <w:rPr/>
      </w:r>
    </w:p>
    <w:p>
      <w:pPr>
        <w:pStyle w:val="LetterSignature"/>
        <w:rPr/>
      </w:pPr>
      <w:r>
        <w:rPr/>
        <w:t>California Manufacturers &amp; Technology Association</w:t>
      </w:r>
    </w:p>
    <w:p>
      <w:pPr>
        <w:pStyle w:val="LetterSignature"/>
        <w:rPr/>
      </w:pPr>
      <w:r>
        <w:rPr/>
      </w:r>
    </w:p>
    <w:p>
      <w:pPr>
        <w:pStyle w:val="LetterSignature"/>
        <w:rPr/>
      </w:pPr>
      <w:r>
        <w:rPr/>
        <w:t>California Retailers Association</w:t>
      </w:r>
    </w:p>
    <w:p>
      <w:pPr>
        <w:pStyle w:val="LetterSignature"/>
        <w:rPr/>
      </w:pPr>
      <w:r>
        <w:rPr/>
      </w:r>
    </w:p>
    <w:p>
      <w:pPr>
        <w:pStyle w:val="LetterSignature"/>
        <w:rPr/>
      </w:pPr>
      <w:r>
        <w:rPr/>
        <w:t>Commonwealth Energy Corporation</w:t>
      </w:r>
    </w:p>
    <w:p>
      <w:pPr>
        <w:pStyle w:val="LetterSignature"/>
        <w:rPr/>
      </w:pPr>
      <w:r>
        <w:rPr/>
        <w:t xml:space="preserve"> </w:t>
      </w:r>
    </w:p>
    <w:p>
      <w:pPr>
        <w:pStyle w:val="LetterSignature"/>
        <w:rPr/>
      </w:pPr>
      <w:r>
        <w:rPr/>
        <w:t>Enron Energy Services, Inc.</w:t>
      </w:r>
    </w:p>
    <w:p>
      <w:pPr>
        <w:pStyle w:val="LetterSignature"/>
        <w:rPr/>
      </w:pPr>
      <w:r>
        <w:rPr/>
      </w:r>
    </w:p>
    <w:p>
      <w:pPr>
        <w:pStyle w:val="LetterSignature"/>
        <w:rPr/>
      </w:pPr>
      <w:r>
        <w:rPr/>
        <w:t>Enron North America Corp.</w:t>
      </w:r>
    </w:p>
    <w:p>
      <w:pPr>
        <w:pStyle w:val="LetterSignature"/>
        <w:rPr/>
      </w:pPr>
      <w:r>
        <w:rPr/>
      </w:r>
    </w:p>
    <w:p>
      <w:pPr>
        <w:pStyle w:val="LetterSignature"/>
        <w:rPr/>
      </w:pPr>
      <w:r>
        <w:rPr/>
        <w:t>Green Mountain</w:t>
      </w:r>
    </w:p>
    <w:p>
      <w:pPr>
        <w:pStyle w:val="LetterSignature"/>
        <w:rPr/>
      </w:pPr>
      <w:r>
        <w:rPr/>
      </w:r>
    </w:p>
    <w:p>
      <w:pPr>
        <w:pStyle w:val="LetterSignature"/>
        <w:rPr/>
      </w:pPr>
      <w:r>
        <w:rPr/>
        <w:t>Kaiser Permanente</w:t>
      </w:r>
    </w:p>
    <w:p>
      <w:pPr>
        <w:pStyle w:val="LetterSignature"/>
        <w:rPr/>
      </w:pPr>
      <w:r>
        <w:rPr/>
      </w:r>
    </w:p>
    <w:p>
      <w:pPr>
        <w:pStyle w:val="LetterSignature"/>
        <w:rPr/>
      </w:pPr>
      <w:r>
        <w:rPr/>
        <w:t>The New Power Company</w:t>
      </w:r>
    </w:p>
    <w:p>
      <w:pPr>
        <w:pStyle w:val="LetterSignature"/>
        <w:rPr/>
      </w:pPr>
      <w:r>
        <w:rPr/>
      </w:r>
    </w:p>
    <w:p>
      <w:pPr>
        <w:pStyle w:val="LetterSignature"/>
        <w:rPr/>
      </w:pPr>
      <w:r>
        <w:rPr/>
        <w:t>OCLI, a JDS Uniphase Company</w:t>
      </w:r>
    </w:p>
    <w:p>
      <w:pPr>
        <w:pStyle w:val="LetterSignature"/>
        <w:rPr/>
      </w:pPr>
      <w:r>
        <w:rPr/>
      </w:r>
    </w:p>
    <w:p>
      <w:pPr>
        <w:pStyle w:val="LetterSignature"/>
        <w:rPr/>
      </w:pPr>
      <w:r>
        <w:rPr/>
        <w:t xml:space="preserve">School Project for Utility Rate Reduction </w:t>
      </w:r>
    </w:p>
    <w:p>
      <w:pPr>
        <w:pStyle w:val="LetterSignature"/>
        <w:rPr/>
      </w:pPr>
      <w:r>
        <w:rPr/>
      </w:r>
    </w:p>
    <w:p>
      <w:pPr>
        <w:pStyle w:val="LetterSignature"/>
        <w:rPr/>
      </w:pPr>
      <w:r>
        <w:rPr/>
      </w:r>
    </w:p>
    <w:p>
      <w:pPr>
        <w:pStyle w:val="LetterSignature"/>
        <w:ind w:start="0" w:end="0"/>
        <w:rPr/>
      </w:pPr>
      <w:r>
        <w:rPr/>
        <w:t>cc:</w:t>
        <w:tab/>
        <w:t>ALJ Joseph R. DeUlloa</w:t>
      </w:r>
    </w:p>
    <w:p>
      <w:pPr>
        <w:pStyle w:val="LetterSignature"/>
        <w:ind w:hanging="5040" w:end="0"/>
        <w:rPr/>
      </w:pPr>
      <w:r>
        <w:rPr/>
        <w:t xml:space="preserve">All parties on Service List 00-11-038, </w:t>
      </w:r>
      <w:r>
        <w:rPr>
          <w:i/>
        </w:rPr>
        <w:t>et al</w:t>
      </w:r>
      <w:r>
        <w:rPr/>
        <w:t xml:space="preserve">.  </w:t>
      </w:r>
    </w:p>
    <w:p>
      <w:pPr>
        <w:pStyle w:val="Normal"/>
        <w:spacing w:lineRule="exact" w:line="200" w:before="240" w:after="0"/>
        <w:rPr/>
      </w:pPr>
      <w:r>
        <w:rPr>
          <w:rStyle w:val="zzmpTrailerItem"/>
        </w:rPr>
        <w:t>2704/138/BILASALT-1</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936" w:top="216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ook Antiqua">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Commissioner Richard Bilas</w:t>
    </w:r>
  </w:p>
  <w:p>
    <w:pPr>
      <w:pStyle w:val="Header"/>
      <w:rPr/>
    </w:pPr>
    <w:r>
      <w:rPr/>
      <w:t>March 2,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30" w:type="dxa"/>
      <w:jc w:val="start"/>
      <w:tblInd w:w="0" w:type="dxa"/>
      <w:tblLayout w:type="fixed"/>
      <w:tblCellMar>
        <w:top w:w="0" w:type="dxa"/>
        <w:start w:w="108" w:type="dxa"/>
        <w:bottom w:w="0" w:type="dxa"/>
        <w:end w:w="108" w:type="dxa"/>
      </w:tblCellMar>
    </w:tblPr>
    <w:tblGrid>
      <w:gridCol w:w="2160"/>
      <w:gridCol w:w="5110"/>
      <w:gridCol w:w="2160"/>
    </w:tblGrid>
    <w:tr>
      <w:trPr>
        <w:trHeight w:val="1180" w:hRule="exact"/>
      </w:trPr>
      <w:tc>
        <w:tcPr>
          <w:tcW w:w="2160" w:type="dxa"/>
          <w:tcBorders/>
        </w:tcPr>
        <w:p>
          <w:pPr>
            <w:pStyle w:val="Letterhead"/>
            <w:snapToGrid w:val="false"/>
            <w:rPr/>
          </w:pPr>
          <w:r>
            <w:rPr/>
          </w:r>
        </w:p>
      </w:tc>
      <w:tc>
        <w:tcPr>
          <w:tcW w:w="5110" w:type="dxa"/>
          <w:tcBorders/>
        </w:tcPr>
        <w:p>
          <w:pPr>
            <w:pStyle w:val="Letterhead"/>
            <w:snapToGrid w:val="false"/>
            <w:jc w:val="center"/>
            <w:rPr/>
          </w:pPr>
          <w:r>
            <w:rPr/>
          </w:r>
        </w:p>
      </w:tc>
      <w:tc>
        <w:tcPr>
          <w:tcW w:w="2160" w:type="dxa"/>
          <w:tcBorders/>
        </w:tcPr>
        <w:p>
          <w:pPr>
            <w:pStyle w:val="Letterhead"/>
            <w:snapToGrid w:val="false"/>
            <w:rPr>
              <w:kern w:val="2"/>
            </w:rPr>
          </w:pPr>
          <w:r>
            <w:rPr>
              <w:kern w:val="2"/>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hkIncludeDear" w:val="True"/>
    <w:docVar w:name="chkIncludeDPhrase" w:val="False"/>
    <w:docVar w:name="chkIncludeLetterClosing" w:val="True"/>
    <w:docVar w:name="chkOptAuthorPhone" w:val="False"/>
    <w:docVar w:name="chkOptDateAsField" w:val="False"/>
    <w:docVar w:name="chkOptFirmName" w:val="False"/>
    <w:docVar w:name="chkOptInternetID" w:val="False"/>
    <w:docVar w:name="chkOptLHName" w:val="False"/>
    <w:docVar w:name="cmbAuthor" w:val="2017"/>
    <w:docVar w:name="cmbAuthorLists" w:val="-100"/>
    <w:docVar w:name="cmbClosingPhrases" w:val="Very truly yours,"/>
    <w:docVar w:name="cmbOptBodyTextAlignment" w:val="0"/>
    <w:docVar w:name="cmbOptClosingPhrases" w:val="Very truly yours,"/>
    <w:docVar w:name="cmbOptFonts" w:val="Times New Roman"/>
    <w:docVar w:name="cmbOptLetterhead" w:val="Engraved"/>
    <w:docVar w:name="cmbOptOffices" w:val="1"/>
    <w:docVar w:name="cmbOptSigType" w:val="No Title"/>
    <w:docVar w:name="cmbPrefLists" w:val="-100"/>
    <w:docVar w:name="cmbSetAuthorPref" w:val="2017"/>
    <w:docVar w:name="iTrailerType" w:val="1"/>
    <w:docVar w:name="lstDeliveryPhrases" w:val="Attorney Work Product"/>
    <w:docVar w:name="lstNames" w:val="Commissioner Richard A.Bilas"/>
    <w:docVar w:name="packedarray" w:val="Commissioner Richard A.Bilas†California Public Utilities Commission&#10;505 Van Ness Ave.&#10;San Francisco, CA 94102"/>
    <w:docVar w:name="Restarted" w:val="True"/>
    <w:docVar w:name="tglUseFirmDefaults" w:val="False"/>
    <w:docVar w:name="txtAuthor" w:val="Michael B. Day"/>
    <w:docVar w:name="txtInitials" w:val="MBD"/>
    <w:docVar w:name="txtNet_ID" w:val="mday@gmssr.com"/>
    <w:docVar w:name="txtOptBottomMargin" w:val="1.4"/>
    <w:docVar w:name="txtOptFirstLine" w:val="1"/>
    <w:docVar w:name="txtOptFSize" w:val="12"/>
    <w:docVar w:name="txtOptLeftMargin" w:val="1"/>
    <w:docVar w:name="txtOptRightMargin" w:val="1"/>
    <w:docVar w:name="txtOptTopMargin" w:val="1.5"/>
    <w:docVar w:name="txtPhone" w:val="415-392-7900"/>
    <w:docVar w:name="txtReLine" w:val="Alternate Draft Order of Commissioner Bials in A.00-11-038, et. al."/>
    <w:docVar w:name="txtSalutation" w:val="Commissioner Bilas"/>
    <w:docVar w:name="txtTitle" w:val="Partner"/>
    <w:docVar w:name="zzmpFixed_MacPacVersion" w:val="97"/>
    <w:docVar w:name="zzmpFixedDOC_ID" w:val="2704/138/BILASALT-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keepLines/>
      <w:spacing w:lineRule="exact" w:line="240"/>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576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u w:val="single"/>
    </w:rPr>
  </w:style>
  <w:style w:type="paragraph" w:styleId="Quote">
    <w:name w:val="Quote"/>
    <w:basedOn w:val="Normal"/>
    <w:next w:val="BodyTextContinued"/>
    <w:qFormat/>
    <w:pPr>
      <w:spacing w:before="0" w:after="240"/>
      <w:ind w:hanging="0" w:start="1440" w:end="1440"/>
    </w:pPr>
    <w:rPr/>
  </w:style>
  <w:style w:type="paragraph" w:styleId="BodyTextContinued">
    <w:name w:val="Body Text Continued"/>
    <w:basedOn w:val="BodyText"/>
    <w:next w:val="BodyText"/>
    <w:qFormat/>
    <w:pPr>
      <w:ind w:hanging="0" w:start="0" w:end="0"/>
    </w:pPr>
    <w:rPr/>
  </w:style>
  <w:style w:type="paragraph" w:styleId="Letterhead">
    <w:name w:val="Letterhead"/>
    <w:qFormat/>
    <w:pPr>
      <w:widowControl/>
      <w:tabs>
        <w:tab w:val="clear" w:pos="720"/>
        <w:tab w:val="center" w:pos="1886" w:leader="none"/>
      </w:tabs>
      <w:bidi w:val="0"/>
    </w:pPr>
    <w:rPr>
      <w:rFonts w:ascii="Book Antiqua;Times New Roman" w:hAnsi="Book Antiqua;Times New Roman" w:eastAsia="Times New Roman" w:cs="Book Antiqua;Times New Roman"/>
      <w:color w:val="auto"/>
      <w:sz w:val="17"/>
      <w:szCs w:val="20"/>
      <w:lang w:val="en-CA" w:eastAsia="zh-CN" w:bidi="hi-I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2001-03-02T19:44:00Z</dcterms:created>
  <dc:creator>Michael B. Day</dc:creator>
  <dc:description>Rev. March 13, 1998 10:46:44</dc:description>
  <dc:language>en-CA</dc:language>
  <cp:lastModifiedBy>JMB</cp:lastModifiedBy>
  <cp:lastPrinted>2001-03-02T14:13:00Z</cp:lastPrinted>
  <dcterms:modified xsi:type="dcterms:W3CDTF">2001-03-02T19:44:00Z</dcterms:modified>
  <cp:revision>2</cp:revision>
  <dc:subject/>
  <dc:title>March 2, 2001</dc:title>
</cp:coreProperties>
</file>