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Bureau of Indian Affairs Tribal Allotment Lands ROW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Navajo Nation Tribal Allotment Lands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Regulatory Agency</w:t>
      </w:r>
      <w:r>
        <w:rPr>
          <w:sz w:val="20"/>
        </w:rPr>
        <w:t xml:space="preserve">: </w:t>
        <w:tab/>
        <w:t>Bureau of Indian Affairs, Navajo Nation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Phone #</w:t>
      </w:r>
      <w:r>
        <w:rPr>
          <w:sz w:val="20"/>
        </w:rPr>
        <w:t xml:space="preserve">: </w:t>
        <w:tab/>
        <w:t>(928) 871-5922</w:t>
      </w:r>
      <w:r>
        <w:rPr/>
        <w:tab/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ind w:hanging="2160" w:start="2160" w:end="0"/>
        <w:rPr/>
      </w:pPr>
      <w:r>
        <w:rPr>
          <w:b/>
          <w:sz w:val="20"/>
        </w:rPr>
        <w:t xml:space="preserve">Permit: </w:t>
        <w:tab/>
      </w:r>
      <w:r>
        <w:rPr>
          <w:sz w:val="20"/>
        </w:rPr>
        <w:t>Right of Way for BIA Tribal Allotment Lands on the Navajo Nation.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 xml:space="preserve">Permit Application: </w:t>
        <w:tab/>
      </w:r>
      <w:r>
        <w:rPr>
          <w:sz w:val="20"/>
        </w:rPr>
        <w:t>Application for Grant of Right of Way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Application Due Date:</w:t>
        <w:tab/>
      </w:r>
      <w:r>
        <w:rPr>
          <w:sz w:val="20"/>
        </w:rPr>
        <w:t>The process may take up to one year to complete</w:t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/>
      </w:pPr>
      <w:r>
        <w:rPr>
          <w:b/>
          <w:sz w:val="20"/>
        </w:rPr>
        <w:t>Permit Fee:</w:t>
      </w:r>
      <w:r>
        <w:rPr>
          <w:sz w:val="20"/>
        </w:rPr>
        <w:tab/>
        <w:t>Yes. BIA appraiser will determine payment for ROW consideration.</w:t>
      </w:r>
    </w:p>
    <w:p>
      <w:pPr>
        <w:pStyle w:val="Normal"/>
        <w:spacing w:before="0" w:after="60"/>
        <w:ind w:hanging="2160" w:start="2160" w:end="0"/>
        <w:rPr/>
      </w:pPr>
      <w:r>
        <w:rPr>
          <w:b/>
          <w:sz w:val="20"/>
        </w:rPr>
        <w:t>Notes:</w:t>
        <w:tab/>
      </w:r>
      <w:r>
        <w:rPr>
          <w:sz w:val="20"/>
        </w:rPr>
        <w:t>This permit only for Tribal Allotment Lands owned by individuals within the Navajo Nation.  Fifty-one percent (51%) of the allotment land’s owners must approve the ROW.</w:t>
      </w:r>
    </w:p>
    <w:p>
      <w:pPr>
        <w:pStyle w:val="Normal"/>
        <w:spacing w:before="0" w:after="60"/>
        <w:ind w:hanging="2160" w:start="2160" w:end="0"/>
        <w:rPr/>
      </w:pPr>
      <w:r>
        <w:rPr>
          <w:b/>
          <w:sz w:val="20"/>
        </w:rPr>
        <w:t>Required Information:</w:t>
        <w:tab/>
      </w:r>
      <w:r>
        <w:rPr>
          <w:sz w:val="20"/>
        </w:rPr>
        <w:t>Required information is listed in the Application.  Listed below is some of the information required.  Refer to the Application for a complete list of specific instructions and requirements.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Permission to Survey Application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Written agreement to comply with all requirements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Maps and description of definite location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Appraisal report and deposit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Allottee(s) written consent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Archeological clearance report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Environmental assessment report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Evidence of authority to execute papers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spacing w:before="0" w:after="60"/>
        <w:ind w:hanging="360" w:start="2520" w:end="0"/>
        <w:rPr>
          <w:sz w:val="20"/>
        </w:rPr>
      </w:pPr>
      <w:r>
        <w:rPr>
          <w:sz w:val="20"/>
        </w:rPr>
        <w:t>Purpose and description of project</w:t>
      </w:r>
    </w:p>
    <w:p>
      <w:pPr>
        <w:pStyle w:val="Normal"/>
        <w:spacing w:before="0" w:after="60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6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160" w:leader="none"/>
          <w:tab w:val="left" w:pos="2250" w:leader="none"/>
        </w:tabs>
        <w:spacing w:before="0" w:after="60"/>
        <w:ind w:hanging="2160" w:start="2160" w:end="0"/>
        <w:rPr>
          <w:sz w:val="20"/>
        </w:rPr>
      </w:pPr>
      <w:r>
        <w:rPr>
          <w:b/>
          <w:sz w:val="20"/>
        </w:rPr>
        <w:t>Potential Obstacles: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Allottees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  <w:tab w:val="left" w:pos="2250" w:leader="none"/>
        </w:tabs>
        <w:spacing w:before="0" w:after="60"/>
        <w:rPr>
          <w:sz w:val="20"/>
        </w:rPr>
      </w:pPr>
      <w:r>
        <w:rPr>
          <w:sz w:val="20"/>
        </w:rPr>
        <w:t>Cultural resources clearance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224"/>
        </w:tabs>
        <w:ind w:start="1224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224"/>
        </w:tabs>
        <w:ind w:start="1224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88"/>
    </w:pPr>
    <w:rPr>
      <w:rFonts w:ascii="Arial" w:hAnsi="Arial" w:eastAsia="Times New Roman" w:cs="Arial"/>
      <w:color w:val="auto"/>
      <w:sz w:val="21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initionList">
    <w:name w:val="Definition List"/>
    <w:basedOn w:val="Normal"/>
    <w:next w:val="Normal"/>
    <w:qFormat/>
    <w:pPr>
      <w:spacing w:lineRule="auto" w:line="240"/>
      <w:ind w:hanging="0" w:start="360" w:end="0"/>
    </w:pPr>
    <w:rPr>
      <w:rFonts w:ascii="Times New Roman" w:hAnsi="Times New Roman" w:cs="Times New Roman"/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2001-09-21T12:05:00Z</dcterms:created>
  <dc:creator>Janet Wood</dc:creator>
  <dc:description/>
  <dc:language>en-CA</dc:language>
  <cp:lastModifiedBy> </cp:lastModifiedBy>
  <cp:lastPrinted>2001-09-21T08:48:00Z</cp:lastPrinted>
  <dcterms:modified xsi:type="dcterms:W3CDTF">2001-09-21T12:18:00Z</dcterms:modified>
  <cp:revision>6</cp:revision>
  <dc:subject/>
  <dc:title>Hydrostatic Test Water Discharge Permit</dc:title>
</cp:coreProperties>
</file>