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July 20,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BHP PETROLEUM (AMERICAS) INC.</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BHP PETROLEUM (AMERICAS) INC.</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1360 Post Oak Boulevard, Suite 150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77056-3020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Dan Sallee</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Phone: (713) 961-8531</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Phone: (713) 961-8237</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BHP PETROLEUM (AMERICAS) INC.</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1360 Post Oak Boulevard, Suite 150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77056-3020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Robert Miller</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Phone: (713) 961-8679</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Phone: (713) 961-8366</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_____________________</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____________________________</w:t>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of 30,000 MMBtu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Green Canyon Area Blocks 236 &amp; 237</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Typhoon</w:t>
        <w:tab/>
        <w:tab/>
        <w:tab/>
        <w:tab/>
        <w:tab/>
        <w:t>____________/ANR Pipeline</w:t>
        <w:tab/>
        <w:tab/>
        <w:tab/>
        <w:tab/>
        <w:tab/>
        <w:t>50%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___________________________</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A primary term from </w:t>
      </w:r>
      <w:r>
        <w:rPr>
          <w:rFonts w:eastAsia="Arial Narrow" w:cs="Arial Narrow" w:ascii="Arial Narrow" w:hAnsi="Arial Narrow"/>
          <w:b/>
          <w:bCs/>
          <w:sz w:val="20"/>
          <w:szCs w:val="20"/>
        </w:rPr>
        <w:t xml:space="preserve">August 1, 2001 through July 31, 2002.  </w:t>
      </w:r>
      <w:r>
        <w:rPr>
          <w:rFonts w:eastAsia="Arial Narrow" w:cs="Arial Narrow" w:ascii="Arial Narrow" w:hAnsi="Arial Narrow"/>
          <w:sz w:val="20"/>
          <w:szCs w:val="20"/>
        </w:rPr>
        <w:t xml:space="preserve">The Period of Delivery may be extended by mutual agreement of the Buyer and Seller at least 30 days prior to the termination of the primary term.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EARLY TERMINATION:</w:t>
      </w:r>
      <w:r>
        <w:rPr>
          <w:rFonts w:eastAsia="Arial Narrow" w:cs="Arial Narrow" w:ascii="Arial Narrow" w:hAnsi="Arial Narrow"/>
          <w:sz w:val="20"/>
          <w:szCs w:val="20"/>
        </w:rPr>
        <w:tab/>
        <w:t>Either Buyer of Seller may terminate this Confirmation upon 14 days notice to the other party hereto, if the other party hereto fails to perform its material obligations hereunder, subject to that other party’s rights to cure such failure during such 14 day period.</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for 80% of the quantity of gas nominated for the first of each month</w:t>
      </w:r>
      <w:r>
        <w:rPr>
          <w:rFonts w:eastAsia="Arial Narrow" w:cs="Arial Narrow" w:ascii="Arial Narrow" w:hAnsi="Arial Narrow"/>
          <w:sz w:val="20"/>
          <w:szCs w:val="20"/>
        </w:rPr>
        <w:t xml:space="preserve">, equal to the “Index Price” published in Inside F.E.R.C for “ANR Pipeline Company – Louisiana” as listed in the table entitled “Prices of Spot Gas Delivered to Pipelines” in the first of the month issue of such publication for each month LESS $0.0425 and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sz w:val="20"/>
          <w:szCs w:val="20"/>
        </w:rPr>
        <w:t>(</w:t>
      </w:r>
      <w:r>
        <w:rPr>
          <w:rFonts w:eastAsia="Arial Narrow" w:cs="Arial Narrow" w:ascii="Arial Narrow" w:hAnsi="Arial Narrow"/>
          <w:sz w:val="20"/>
          <w:szCs w:val="20"/>
        </w:rPr>
        <w:t>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 xml:space="preserve">For 20% of the quantity of gas nominated for the first of each month </w:t>
      </w:r>
      <w:r>
        <w:rPr>
          <w:rFonts w:eastAsia="Arial Narrow" w:cs="Arial Narrow" w:ascii="Arial Narrow" w:hAnsi="Arial Narrow"/>
          <w:sz w:val="20"/>
          <w:szCs w:val="20"/>
        </w:rPr>
        <w:t xml:space="preserve">each month 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for the relevant gas day for “ANR Pipeline Company – Louisiana” for each gas day in which deliveries occurred LESS the Deduction.  If any referenced index is not available in the future, and the Parties do not agree to an alternate as of the end of the first month for which the Contract Price could not be determined, then the determination of a replacement index shall be subject to arbitration.  Any shortfalls in the actual deliveries of gas hereunder from the first of the month nominations, shall first be subtracted from the Gas Daily priced quantities.</w:t>
      </w:r>
    </w:p>
    <w:p>
      <w:pPr>
        <w:pStyle w:val="Normal"/>
        <w:widowControl/>
        <w:tabs>
          <w:tab w:val="clear" w:pos="720"/>
          <w:tab w:val="left" w:pos="585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ALLOCATIONS:  </w:t>
      </w:r>
      <w:r>
        <w:rPr>
          <w:rFonts w:eastAsia="Arial Narrow" w:cs="Arial Narrow" w:ascii="Arial Narrow" w:hAnsi="Arial Narrow"/>
          <w:sz w:val="20"/>
          <w:szCs w:val="20"/>
        </w:rPr>
        <w:t>Seller shall or shall cause the platform operator, Chevron U.S.A. Production to notify Buyer of Seller’s allocated share of the production from the Committed Well(s), by 9:00 a.m. on the business day prior to the effective date of such allocation.  Such allocated quantity shall be deemed to be Seller’s nomination.  If Buyer does not receive such allocation notice from Seller by such time, the previous allocation shall be deemed to be still in effect.  In no event, shall the Nomination exceed Seller’s allocated share of the production from the Committed Well(s).</w:t>
      </w:r>
    </w:p>
    <w:p>
      <w:pPr>
        <w:pStyle w:val="Normal"/>
        <w:widowControl/>
        <w:tabs>
          <w:tab w:val="clear" w:pos="720"/>
          <w:tab w:val="left" w:pos="585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STATEMENTS:  </w:t>
      </w:r>
      <w:r>
        <w:rPr>
          <w:rFonts w:eastAsia="Arial Narrow" w:cs="Arial Narrow" w:ascii="Arial Narrow" w:hAnsi="Arial Narrow"/>
          <w:sz w:val="20"/>
          <w:szCs w:val="20"/>
        </w:rPr>
        <w:t>Buyer shall provide Seller with a monthly statement of the quantity of gas delivered hereunder by the 25</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day of the month following the month during which the gas was delivered.  Payment for all gas purchases hereunder shall be made in accordance with the terms and conditions of the GTC (hereafter defined).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 xml:space="preserve">TRANSPORTATION AGENCY:  </w:t>
      </w:r>
      <w:r>
        <w:rPr>
          <w:rFonts w:eastAsia="Arial Narrow" w:cs="Arial Narrow" w:ascii="Arial Narrow" w:hAnsi="Arial Narrow"/>
          <w:sz w:val="20"/>
          <w:szCs w:val="20"/>
        </w:rPr>
        <w:t>Buyer shall act as Seller’s agent for scheduling and nominations related to the quantities of gas purchased hereunder with respect to Seller’s PTS-2 and ITS transportation service on ANR Pipeline Company from the ANR pooling point to the Delivery Point (the “Seller’s Transport”).  Seller shall execute an agency agreement specifying such agency in a form acceptable to ANR.</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BUYER’S OBLIGATION TO TAKE</w:t>
      </w:r>
      <w:r>
        <w:rPr>
          <w:rFonts w:eastAsia="Arial Narrow" w:cs="Arial Narrow" w:ascii="Arial Narrow" w:hAnsi="Arial Narrow"/>
          <w:sz w:val="20"/>
          <w:szCs w:val="20"/>
        </w:rPr>
        <w:t>:</w:t>
        <w:tab/>
        <w:t>Buyer shall take 100% of Seller’s Daily Deliverability from the Committed Well(s) up to the MaxDQ of 30,000 MMBtu per day on a firm basis, subject to Seller’s transporation on ANR Pipeline Company being available and any events of Force Majeure.</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NGL RECOVERY</w:t>
      </w:r>
      <w:r>
        <w:rPr>
          <w:rFonts w:eastAsia="Arial Narrow" w:cs="Arial Narrow" w:ascii="Arial Narrow" w:hAnsi="Arial Narrow"/>
          <w:sz w:val="20"/>
          <w:szCs w:val="20"/>
        </w:rPr>
        <w:t>:</w:t>
        <w:tab/>
        <w:t xml:space="preserve">Seller shall retain all rights to recover any and all natural gas liquids (“NGL’s”) from the gas delivered hereunder and retain all ownership rights of any retrograde condesate recovered from pipelines upstream of the processing plant gate.  Seller shall provide Buyer with notice of all NGL recovery arrangements.  Such notice shall be provided to Buyer sufficiently in advance of any required nomination deadlines for Seller’s Transport.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PRICE CONVERSION:</w:t>
      </w:r>
      <w:r>
        <w:rPr>
          <w:rFonts w:eastAsia="Arial Narrow" w:cs="Arial Narrow" w:ascii="Arial Narrow" w:hAnsi="Arial Narrow"/>
          <w:sz w:val="20"/>
          <w:szCs w:val="20"/>
        </w:rPr>
        <w:t xml:space="preserve">  As used herein, “Fixed Price” means the fixed price based on the NYMEX at the Henry Hub agreed to by the Parties for the applicable month during the Period of Delivery.  Customer may request that the Contract Price be converted to a Fixed Price by contacting Buyer and requesting any such Fixed Price and specifying the portion of the Period of Delivery for which the price is desired.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eastAsia="Arial Narrow" w:cs="Arial Narrow" w:ascii="Arial Narrow" w:hAnsi="Arial Narrow"/>
          <w:sz w:val="20"/>
          <w:szCs w:val="20"/>
        </w:rPr>
        <w:fldChar w:fldCharType="begin"/>
      </w:r>
      <w:r>
        <w:rPr>
          <w:sz w:val="20"/>
          <w:szCs w:val="20"/>
          <w:rFonts w:eastAsia="Arial Narrow" w:cs="Arial Narrow" w:ascii="Arial Narrow" w:hAnsi="Arial Narrow"/>
        </w:rPr>
        <w:instrText xml:space="preserve"> MERGEFIELD EnronEntityCode </w:instrText>
      </w:r>
      <w:r>
        <w:rPr>
          <w:sz w:val="20"/>
          <w:szCs w:val="20"/>
          <w:rFonts w:eastAsia="Arial Narrow" w:cs="Arial Narrow" w:ascii="Arial Narrow" w:hAnsi="Arial Narrow"/>
        </w:rPr>
        <w:fldChar w:fldCharType="separate"/>
      </w:r>
      <w:r>
        <w:rPr>
          <w:sz w:val="20"/>
          <w:szCs w:val="20"/>
          <w:rFonts w:eastAsia="Arial Narrow" w:cs="Arial Narrow" w:ascii="Arial Narrow" w:hAnsi="Arial Narrow"/>
        </w:rPr>
        <w:t>ENA</w:t>
      </w:r>
      <w:r>
        <w:rPr>
          <w:sz w:val="20"/>
          <w:szCs w:val="20"/>
          <w:rFonts w:eastAsia="Arial Narrow" w:cs="Arial Narrow" w:ascii="Arial Narrow" w:hAnsi="Arial Narrow"/>
        </w:rPr>
        <w:fldChar w:fldCharType="end"/>
      </w:r>
      <w:r>
        <w:rPr>
          <w:rFonts w:eastAsia="Arial Narrow" w:cs="Arial Narrow" w:ascii="Arial Narrow" w:hAnsi="Arial Narrow"/>
          <w:sz w:val="20"/>
          <w:szCs w:val="20"/>
        </w:rPr>
        <w:t xml:space="preserve"> may thereafter send a facsimile to Customer which confirms the Recorded Agreement (the "Fixed Price Election Notice") in a form adequate at law.  The Parties agree that any objections to the contents of the Fixed Price Election Notice confirmation shall be made in writing within 24 hours for all purposes hereunder and at law.  Each Recorded Agreement and, as available, each Fixed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Customer may also request that the any previously agreed to Fixed Price be converted to a floating/index price by following the same procedures set forth in this section above.</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ROYALTY:</w:t>
      </w:r>
      <w:r>
        <w:rPr>
          <w:rFonts w:eastAsia="Arial Narrow" w:cs="Arial Narrow" w:ascii="Arial Narrow" w:hAnsi="Arial Narrow"/>
          <w:sz w:val="20"/>
          <w:szCs w:val="20"/>
        </w:rPr>
        <w:t xml:space="preserve">  Seller shall be solely responsible for all royalty obligations with respect to the Seller’s Daily Deliverability from the Committed Well(s).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AUDIT RIGHTS:</w:t>
      </w:r>
      <w:r>
        <w:rPr>
          <w:rFonts w:eastAsia="Arial Narrow" w:cs="Arial Narrow" w:ascii="Arial Narrow" w:hAnsi="Arial Narrow"/>
          <w:sz w:val="20"/>
          <w:szCs w:val="20"/>
        </w:rPr>
        <w:t xml:space="preserve">  During the term of this Confirmation and for a period of two years from the date of termination hereof, Buyer or Seller or any third party representa</w:t>
        <w:softHyphen/>
        <w:t>tive thereof shall have the right, upon reasonable notice and at reasonable times, to examine the books and records of the other to the extent reasonably necessary to verify the accuracy of any billing statement, monthly volume statement, or computation made under this Confirmation.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REPRESENTATIVE:</w:t>
      </w:r>
      <w:r>
        <w:rPr>
          <w:rFonts w:eastAsia="Arial Narrow" w:cs="Arial Narrow" w:ascii="Arial Narrow" w:hAnsi="Arial Narrow"/>
          <w:sz w:val="20"/>
          <w:szCs w:val="20"/>
        </w:rPr>
        <w:t xml:space="preserve">  Buyer shall designate a specific representative (and a backup representative) to perform its obligations under this Confirmation and provide Seller notice thereof.</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Narrow" w:cs="Arial Narrow" w:ascii="Arial Narrow" w:hAnsi="Arial Narrow"/>
                <w:u w:val="single"/>
              </w:rPr>
              <w:t>CUSTOMER</w:t>
            </w:r>
            <w:r>
              <w:rPr>
                <w:rFonts w:eastAsia="Arial Narrow" w:cs="Arial Narrow" w:ascii="Arial Narrow" w:hAnsi="Arial Narrow"/>
              </w:rPr>
              <w:t>:</w:t>
            </w:r>
          </w:p>
          <w:p>
            <w:pPr>
              <w:pStyle w:val="Normal"/>
              <w:jc w:val="both"/>
              <w:rPr>
                <w:rFonts w:ascii="Arial Narrow" w:hAnsi="Arial Narrow" w:eastAsia="Arial Narrow" w:cs="Arial Narrow"/>
              </w:rPr>
            </w:pPr>
            <w:r>
              <w:rPr>
                <w:rFonts w:eastAsia="Arial Narrow" w:cs="Arial Narrow" w:ascii="Arial Narrow" w:hAnsi="Arial Narrow"/>
              </w:rPr>
            </w:r>
          </w:p>
          <w:p>
            <w:pPr>
              <w:pStyle w:val="Heading1"/>
              <w:ind w:hanging="0" w:start="0"/>
              <w:rPr/>
            </w:pPr>
            <w:r>
              <w:rPr/>
              <w:t>BHP PETROLEUM (AMERICAS) INC.</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Narrow" w:cs="Arial Narrow" w:ascii="Arial Narrow" w:hAnsi="Arial Narrow"/>
                <w:u w:val="single"/>
              </w:rPr>
              <w:t>COMPANY</w:t>
            </w:r>
            <w:r>
              <w:rPr>
                <w:rFonts w:eastAsia="Arial Narrow" w:cs="Arial Narrow" w:ascii="Arial Narrow" w:hAnsi="Arial Narrow"/>
              </w:rPr>
              <w:t>:</w:t>
            </w:r>
          </w:p>
          <w:p>
            <w:pPr>
              <w:pStyle w:val="Normal"/>
              <w:jc w:val="both"/>
              <w:rPr>
                <w:rFonts w:ascii="Arial Narrow" w:hAnsi="Arial Narrow" w:eastAsia="Arial Narrow" w:cs="Arial Narrow"/>
              </w:rPr>
            </w:pPr>
            <w:r>
              <w:rPr>
                <w:rFonts w:eastAsia="Arial Narrow" w:cs="Arial Narrow" w:ascii="Arial Narrow" w:hAnsi="Arial Narrow"/>
              </w:rPr>
            </w:r>
          </w:p>
          <w:p>
            <w:pPr>
              <w:pStyle w:val="Heading1"/>
              <w:ind w:hanging="0" w:start="0"/>
              <w:rPr/>
            </w:pPr>
            <w:r>
              <w:rPr/>
              <w:t>ENA UPSTREAM COMPANY, LLC</w:t>
            </w:r>
          </w:p>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By Enron North America Corp.</w:t>
            </w:r>
          </w:p>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Its Managing Member</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By _________________________________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By _________________________________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Name: 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Name: 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Title: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Title: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Date: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Date: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enaupstreamconfirm2001doc</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Narrow" w:hAnsi="Arial Narrow" w:eastAsia="Arial Narrow" w:cs="Arial Narrow"/>
      <w:b/>
      <w:bCs/>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2001-07-20T12:55:00Z</dcterms:created>
  <dc:creator>ECT</dc:creator>
  <dc:description/>
  <dc:language>en-CA</dc:language>
  <cp:lastModifiedBy>gnemec</cp:lastModifiedBy>
  <cp:lastPrinted>2001-07-20T11:46:00Z</cp:lastPrinted>
  <dcterms:modified xsi:type="dcterms:W3CDTF">2001-07-20T14:22:00Z</dcterms:modified>
  <cp:revision>19</cp:revision>
  <dc:subject/>
  <dc:title>[ECT LETTERHEAD]</dc:title>
</cp:coreProperties>
</file>